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rFonts w:hint="eastAsia"/>
          <w:highlight w:val="none"/>
        </w:rPr>
      </w:pPr>
    </w:p>
    <w:p>
      <w:pPr>
        <w:tabs>
          <w:tab w:val="clear" w:pos="426"/>
        </w:tabs>
        <w:rPr>
          <w:rFonts w:hint="eastAsia"/>
          <w:highlight w:val="none"/>
        </w:rPr>
      </w:pPr>
    </w:p>
    <w:p>
      <w:pPr>
        <w:tabs>
          <w:tab w:val="clear" w:pos="426"/>
        </w:tabs>
        <w:jc w:val="right"/>
        <w:rPr>
          <w:rFonts w:hint="eastAsia"/>
          <w:b/>
          <w:highlight w:val="none"/>
          <w:u w:val="single"/>
        </w:rPr>
      </w:pPr>
      <w:r>
        <w:rPr>
          <w:rFonts w:hint="eastAsia"/>
          <w:highlight w:val="none"/>
        </w:rPr>
        <w:t xml:space="preserve">                                                     项目编号：</w:t>
      </w:r>
      <w:r>
        <w:rPr>
          <w:rFonts w:hint="eastAsia"/>
          <w:b/>
          <w:highlight w:val="none"/>
          <w:u w:val="single"/>
        </w:rPr>
        <w:t>SSZX2024-374</w:t>
      </w: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highlight w:val="none"/>
        </w:rPr>
      </w:pPr>
    </w:p>
    <w:p>
      <w:pPr>
        <w:widowControl w:val="0"/>
        <w:shd w:val="clear" w:color="auto" w:fill="auto"/>
        <w:tabs>
          <w:tab w:val="clear" w:pos="426"/>
        </w:tabs>
        <w:adjustRightInd/>
        <w:snapToGrid/>
        <w:spacing w:line="300" w:lineRule="auto"/>
        <w:jc w:val="center"/>
        <w:rPr>
          <w:rFonts w:hint="eastAsia" w:cs="Times New Roman"/>
          <w:spacing w:val="26"/>
          <w:kern w:val="2"/>
          <w:sz w:val="72"/>
          <w:szCs w:val="20"/>
          <w:highlight w:val="none"/>
        </w:rPr>
      </w:pPr>
      <w:r>
        <w:rPr>
          <w:rFonts w:hint="eastAsia" w:cs="Times New Roman"/>
          <w:spacing w:val="26"/>
          <w:kern w:val="2"/>
          <w:sz w:val="72"/>
          <w:szCs w:val="20"/>
          <w:highlight w:val="none"/>
        </w:rPr>
        <w:t>招标文件</w:t>
      </w: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jc w:val="center"/>
        <w:rPr>
          <w:rFonts w:ascii="黑体" w:hAnsi="Arial" w:eastAsia="黑体" w:cs="Arial"/>
          <w:sz w:val="52"/>
          <w:szCs w:val="52"/>
          <w:highlight w:val="none"/>
        </w:rPr>
      </w:pPr>
      <w:r>
        <w:rPr>
          <w:rFonts w:hint="eastAsia" w:ascii="黑体" w:hAnsi="Arial" w:eastAsia="黑体" w:cs="Arial"/>
          <w:sz w:val="52"/>
          <w:szCs w:val="52"/>
          <w:highlight w:val="none"/>
        </w:rPr>
        <w:t>【货物类】</w:t>
      </w: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highlight w:val="none"/>
          <w:u w:val="single"/>
        </w:rPr>
      </w:pPr>
      <w:r>
        <w:rPr>
          <w:rFonts w:hint="eastAsia" w:cs="Times New Roman"/>
          <w:kern w:val="2"/>
          <w:sz w:val="30"/>
          <w:szCs w:val="20"/>
          <w:highlight w:val="none"/>
        </w:rPr>
        <w:t>项目名称：</w:t>
      </w:r>
      <w:r>
        <w:rPr>
          <w:rFonts w:hint="eastAsia" w:cs="Times New Roman"/>
          <w:kern w:val="2"/>
          <w:sz w:val="30"/>
          <w:szCs w:val="20"/>
          <w:highlight w:val="none"/>
          <w:u w:val="single"/>
        </w:rPr>
        <w:t>农兽残检测全流程全自动样品前处理系统设备采购项目</w:t>
      </w:r>
    </w:p>
    <w:p>
      <w:pPr>
        <w:widowControl w:val="0"/>
        <w:shd w:val="clear" w:color="auto" w:fill="auto"/>
        <w:tabs>
          <w:tab w:val="clear" w:pos="426"/>
        </w:tabs>
        <w:adjustRightInd/>
        <w:snapToGrid/>
        <w:spacing w:line="300" w:lineRule="auto"/>
        <w:ind w:left="1798" w:leftChars="142" w:hanging="1500" w:hangingChars="500"/>
        <w:rPr>
          <w:rFonts w:hint="eastAsia"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hint="eastAsia" w:cs="Times New Roman"/>
          <w:kern w:val="2"/>
          <w:sz w:val="30"/>
          <w:szCs w:val="20"/>
          <w:highlight w:val="none"/>
        </w:rPr>
      </w:pPr>
      <w:r>
        <w:rPr>
          <w:rFonts w:hint="eastAsia" w:cs="Times New Roman"/>
          <w:kern w:val="2"/>
          <w:sz w:val="30"/>
          <w:szCs w:val="20"/>
          <w:highlight w:val="none"/>
        </w:rPr>
        <w:t>采购人名称：</w:t>
      </w:r>
      <w:r>
        <w:rPr>
          <w:rFonts w:hint="eastAsia" w:cs="Times New Roman"/>
          <w:kern w:val="2"/>
          <w:sz w:val="30"/>
          <w:szCs w:val="20"/>
          <w:highlight w:val="none"/>
          <w:u w:val="single"/>
        </w:rPr>
        <w:t>深圳海关食品检验检疫技术中心</w:t>
      </w:r>
    </w:p>
    <w:p>
      <w:pPr>
        <w:widowControl w:val="0"/>
        <w:shd w:val="clear" w:color="auto" w:fill="auto"/>
        <w:tabs>
          <w:tab w:val="clear" w:pos="426"/>
        </w:tabs>
        <w:adjustRightInd/>
        <w:snapToGrid/>
        <w:spacing w:line="300" w:lineRule="auto"/>
        <w:ind w:left="1500" w:hanging="1500" w:hangingChars="500"/>
        <w:rPr>
          <w:rFonts w:hint="eastAsia"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hint="eastAsia"/>
          <w:highlight w:val="none"/>
        </w:rPr>
      </w:pPr>
      <w:r>
        <w:rPr>
          <w:rFonts w:hint="eastAsia" w:cs="Times New Roman"/>
          <w:kern w:val="2"/>
          <w:sz w:val="30"/>
          <w:szCs w:val="20"/>
          <w:highlight w:val="none"/>
        </w:rPr>
        <w:t>采购代理机构名称：</w:t>
      </w:r>
      <w:r>
        <w:rPr>
          <w:rFonts w:hint="eastAsia" w:cs="Times New Roman"/>
          <w:kern w:val="2"/>
          <w:sz w:val="30"/>
          <w:szCs w:val="20"/>
          <w:highlight w:val="none"/>
          <w:u w:val="single"/>
        </w:rPr>
        <w:t>深圳市深水水务咨询有限公司</w:t>
      </w:r>
    </w:p>
    <w:p>
      <w:pPr>
        <w:tabs>
          <w:tab w:val="clear" w:pos="426"/>
        </w:tabs>
        <w:jc w:val="center"/>
        <w:rPr>
          <w:rFonts w:hint="eastAsia"/>
          <w:sz w:val="32"/>
          <w:szCs w:val="32"/>
          <w:highlight w:val="none"/>
        </w:rPr>
      </w:pPr>
      <w:r>
        <w:rPr>
          <w:highlight w:val="none"/>
        </w:rPr>
        <w:br w:type="page"/>
      </w:r>
      <w:r>
        <w:rPr>
          <w:rFonts w:hint="eastAsia"/>
          <w:b/>
          <w:sz w:val="32"/>
          <w:szCs w:val="32"/>
          <w:highlight w:val="none"/>
        </w:rPr>
        <w:t>目      录</w:t>
      </w:r>
    </w:p>
    <w:p>
      <w:pPr>
        <w:pStyle w:val="71"/>
        <w:tabs>
          <w:tab w:val="right" w:leader="dot" w:pos="8788"/>
          <w:tab w:val="clear" w:pos="8789"/>
        </w:tabs>
        <w:spacing w:line="240" w:lineRule="auto"/>
        <w:ind w:left="105"/>
        <w:rPr>
          <w:rFonts w:hint="eastAsia" w:ascii="黑体" w:hAnsi="黑体" w:eastAsia="黑体" w:cs="黑体"/>
          <w:b/>
          <w:bCs/>
          <w:sz w:val="20"/>
          <w:szCs w:val="20"/>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"_Toc1594" </w:instrText>
      </w:r>
      <w:r>
        <w:rPr>
          <w:highlight w:val="none"/>
        </w:rPr>
        <w:fldChar w:fldCharType="separate"/>
      </w:r>
      <w:r>
        <w:rPr>
          <w:rFonts w:hint="eastAsia" w:ascii="黑体" w:hAnsi="黑体" w:eastAsia="黑体" w:cs="黑体"/>
          <w:b/>
          <w:bCs/>
          <w:sz w:val="20"/>
          <w:szCs w:val="20"/>
          <w:highlight w:val="none"/>
        </w:rPr>
        <w:t>项目关键信息</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_Toc1594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1</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highlight w:val="none"/>
        </w:rPr>
      </w:pPr>
      <w:r>
        <w:rPr>
          <w:highlight w:val="none"/>
        </w:rPr>
        <w:fldChar w:fldCharType="begin"/>
      </w:r>
      <w:r>
        <w:rPr>
          <w:highlight w:val="none"/>
        </w:rPr>
        <w:instrText xml:space="preserve"> HYPERLINK \l "_Toc16410" </w:instrText>
      </w:r>
      <w:r>
        <w:rPr>
          <w:highlight w:val="none"/>
        </w:rPr>
        <w:fldChar w:fldCharType="separate"/>
      </w:r>
      <w:r>
        <w:rPr>
          <w:rFonts w:hint="eastAsia" w:ascii="黑体" w:hAnsi="黑体" w:eastAsia="黑体" w:cs="黑体"/>
          <w:b/>
          <w:bCs/>
          <w:sz w:val="20"/>
          <w:szCs w:val="20"/>
          <w:highlight w:val="none"/>
        </w:rPr>
        <w:t>招标文件第一册（专用部分）</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_Toc16410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3</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"_Toc20258" </w:instrText>
      </w:r>
      <w:r>
        <w:rPr>
          <w:highlight w:val="none"/>
        </w:rPr>
        <w:fldChar w:fldCharType="separate"/>
      </w:r>
      <w:r>
        <w:rPr>
          <w:rFonts w:hint="eastAsia"/>
          <w:b/>
          <w:bCs/>
          <w:sz w:val="20"/>
          <w:szCs w:val="20"/>
          <w:highlight w:val="none"/>
        </w:rPr>
        <w:t>第一章 投标邀请</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_Toc20258 \h </w:instrText>
      </w:r>
      <w:r>
        <w:rPr>
          <w:rFonts w:hint="eastAsia"/>
          <w:b/>
          <w:bCs/>
          <w:sz w:val="20"/>
          <w:szCs w:val="20"/>
          <w:highlight w:val="none"/>
        </w:rPr>
        <w:fldChar w:fldCharType="separate"/>
      </w:r>
      <w:r>
        <w:rPr>
          <w:rFonts w:hint="eastAsia"/>
          <w:b/>
          <w:bCs/>
          <w:sz w:val="20"/>
          <w:szCs w:val="20"/>
          <w:highlight w:val="none"/>
        </w:rPr>
        <w:t>3</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"_Toc13122" </w:instrText>
      </w:r>
      <w:r>
        <w:rPr>
          <w:highlight w:val="none"/>
        </w:rPr>
        <w:fldChar w:fldCharType="separate"/>
      </w:r>
      <w:r>
        <w:rPr>
          <w:rFonts w:hint="eastAsia"/>
          <w:b/>
          <w:bCs/>
          <w:sz w:val="20"/>
          <w:szCs w:val="20"/>
          <w:highlight w:val="none"/>
        </w:rPr>
        <w:t>第二章 项目需求</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_Toc13122 \h </w:instrText>
      </w:r>
      <w:r>
        <w:rPr>
          <w:rFonts w:hint="eastAsia"/>
          <w:b/>
          <w:bCs/>
          <w:sz w:val="20"/>
          <w:szCs w:val="20"/>
          <w:highlight w:val="none"/>
        </w:rPr>
        <w:fldChar w:fldCharType="separate"/>
      </w:r>
      <w:r>
        <w:rPr>
          <w:rFonts w:hint="eastAsia"/>
          <w:b/>
          <w:bCs/>
          <w:sz w:val="20"/>
          <w:szCs w:val="20"/>
          <w:highlight w:val="none"/>
        </w:rPr>
        <w:t>7</w:t>
      </w:r>
      <w:r>
        <w:rPr>
          <w:rFonts w:hint="eastAsia"/>
          <w:b/>
          <w:bCs/>
          <w:sz w:val="20"/>
          <w:szCs w:val="20"/>
          <w:highlight w:val="none"/>
        </w:rPr>
        <w:fldChar w:fldCharType="end"/>
      </w:r>
      <w:r>
        <w:rPr>
          <w:rFonts w:hint="eastAsia"/>
          <w:b/>
          <w:bCs/>
          <w:sz w:val="20"/>
          <w:szCs w:val="20"/>
          <w:highlight w:val="none"/>
        </w:rPr>
        <w:fldChar w:fldCharType="end"/>
      </w:r>
    </w:p>
    <w:p>
      <w:pPr>
        <w:pStyle w:val="43"/>
        <w:tabs>
          <w:tab w:val="right" w:leader="dot" w:pos="8788"/>
          <w:tab w:val="clear" w:pos="426"/>
        </w:tabs>
        <w:spacing w:line="240" w:lineRule="auto"/>
        <w:rPr>
          <w:rFonts w:hint="eastAsia"/>
          <w:i w:val="0"/>
          <w:iCs w:val="0"/>
          <w:sz w:val="20"/>
          <w:szCs w:val="20"/>
          <w:highlight w:val="none"/>
        </w:rPr>
      </w:pPr>
      <w:r>
        <w:rPr>
          <w:highlight w:val="none"/>
        </w:rPr>
        <w:fldChar w:fldCharType="begin"/>
      </w:r>
      <w:r>
        <w:rPr>
          <w:highlight w:val="none"/>
        </w:rPr>
        <w:instrText xml:space="preserve"> HYPERLINK \l "_Toc15786" </w:instrText>
      </w:r>
      <w:r>
        <w:rPr>
          <w:highlight w:val="none"/>
        </w:rPr>
        <w:fldChar w:fldCharType="separate"/>
      </w:r>
      <w:r>
        <w:rPr>
          <w:rFonts w:hint="eastAsia"/>
          <w:i w:val="0"/>
          <w:iCs w:val="0"/>
          <w:sz w:val="20"/>
          <w:szCs w:val="20"/>
          <w:highlight w:val="none"/>
        </w:rPr>
        <w:t xml:space="preserve">一、 </w:t>
      </w:r>
      <w:r>
        <w:rPr>
          <w:i w:val="0"/>
          <w:iCs w:val="0"/>
          <w:sz w:val="20"/>
          <w:szCs w:val="20"/>
          <w:highlight w:val="none"/>
        </w:rPr>
        <w:t>货物清单</w:t>
      </w:r>
      <w:r>
        <w:rPr>
          <w:rFonts w:hint="eastAsia"/>
          <w:i w:val="0"/>
          <w:iCs w:val="0"/>
          <w:sz w:val="20"/>
          <w:szCs w:val="20"/>
          <w:highlight w:val="none"/>
        </w:rPr>
        <w:t>一览表</w:t>
      </w:r>
      <w:r>
        <w:rPr>
          <w:i w:val="0"/>
          <w:iCs w:val="0"/>
          <w:sz w:val="20"/>
          <w:szCs w:val="20"/>
          <w:highlight w:val="none"/>
        </w:rPr>
        <w:tab/>
      </w:r>
      <w:r>
        <w:rPr>
          <w:i w:val="0"/>
          <w:iCs w:val="0"/>
          <w:sz w:val="20"/>
          <w:szCs w:val="20"/>
          <w:highlight w:val="none"/>
        </w:rPr>
        <w:fldChar w:fldCharType="begin"/>
      </w:r>
      <w:r>
        <w:rPr>
          <w:i w:val="0"/>
          <w:iCs w:val="0"/>
          <w:sz w:val="20"/>
          <w:szCs w:val="20"/>
          <w:highlight w:val="none"/>
        </w:rPr>
        <w:instrText xml:space="preserve"> PAGEREF _Toc15786 \h </w:instrText>
      </w:r>
      <w:r>
        <w:rPr>
          <w:i w:val="0"/>
          <w:iCs w:val="0"/>
          <w:sz w:val="20"/>
          <w:szCs w:val="20"/>
          <w:highlight w:val="none"/>
        </w:rPr>
        <w:fldChar w:fldCharType="separate"/>
      </w:r>
      <w:r>
        <w:rPr>
          <w:i w:val="0"/>
          <w:iCs w:val="0"/>
          <w:sz w:val="20"/>
          <w:szCs w:val="20"/>
          <w:highlight w:val="none"/>
        </w:rPr>
        <w:t>7</w:t>
      </w:r>
      <w:r>
        <w:rPr>
          <w:i w:val="0"/>
          <w:iCs w:val="0"/>
          <w:sz w:val="20"/>
          <w:szCs w:val="20"/>
          <w:highlight w:val="none"/>
        </w:rPr>
        <w:fldChar w:fldCharType="end"/>
      </w:r>
      <w:r>
        <w:rPr>
          <w:i w:val="0"/>
          <w:iCs w:val="0"/>
          <w:sz w:val="20"/>
          <w:szCs w:val="20"/>
          <w:highlight w:val="none"/>
        </w:rPr>
        <w:fldChar w:fldCharType="end"/>
      </w:r>
    </w:p>
    <w:p>
      <w:pPr>
        <w:pStyle w:val="43"/>
        <w:tabs>
          <w:tab w:val="right" w:leader="dot" w:pos="8788"/>
          <w:tab w:val="clear" w:pos="426"/>
        </w:tabs>
        <w:spacing w:line="240" w:lineRule="auto"/>
        <w:rPr>
          <w:rFonts w:hint="eastAsia"/>
          <w:i w:val="0"/>
          <w:iCs w:val="0"/>
          <w:sz w:val="20"/>
          <w:szCs w:val="20"/>
          <w:highlight w:val="none"/>
        </w:rPr>
      </w:pPr>
      <w:r>
        <w:rPr>
          <w:highlight w:val="none"/>
        </w:rPr>
        <w:fldChar w:fldCharType="begin"/>
      </w:r>
      <w:r>
        <w:rPr>
          <w:highlight w:val="none"/>
        </w:rPr>
        <w:instrText xml:space="preserve"> HYPERLINK \l "_Toc31434" </w:instrText>
      </w:r>
      <w:r>
        <w:rPr>
          <w:highlight w:val="none"/>
        </w:rPr>
        <w:fldChar w:fldCharType="separate"/>
      </w:r>
      <w:r>
        <w:rPr>
          <w:rFonts w:hint="eastAsia"/>
          <w:i w:val="0"/>
          <w:iCs w:val="0"/>
          <w:sz w:val="20"/>
          <w:szCs w:val="20"/>
          <w:highlight w:val="none"/>
        </w:rPr>
        <w:t>二、 实质性响应条款</w:t>
      </w:r>
      <w:r>
        <w:rPr>
          <w:i w:val="0"/>
          <w:iCs w:val="0"/>
          <w:sz w:val="20"/>
          <w:szCs w:val="20"/>
          <w:highlight w:val="none"/>
        </w:rPr>
        <w:tab/>
      </w:r>
      <w:r>
        <w:rPr>
          <w:i w:val="0"/>
          <w:iCs w:val="0"/>
          <w:sz w:val="20"/>
          <w:szCs w:val="20"/>
          <w:highlight w:val="none"/>
        </w:rPr>
        <w:fldChar w:fldCharType="begin"/>
      </w:r>
      <w:r>
        <w:rPr>
          <w:i w:val="0"/>
          <w:iCs w:val="0"/>
          <w:sz w:val="20"/>
          <w:szCs w:val="20"/>
          <w:highlight w:val="none"/>
        </w:rPr>
        <w:instrText xml:space="preserve"> PAGEREF _Toc31434 \h </w:instrText>
      </w:r>
      <w:r>
        <w:rPr>
          <w:i w:val="0"/>
          <w:iCs w:val="0"/>
          <w:sz w:val="20"/>
          <w:szCs w:val="20"/>
          <w:highlight w:val="none"/>
        </w:rPr>
        <w:fldChar w:fldCharType="separate"/>
      </w:r>
      <w:r>
        <w:rPr>
          <w:i w:val="0"/>
          <w:iCs w:val="0"/>
          <w:sz w:val="20"/>
          <w:szCs w:val="20"/>
          <w:highlight w:val="none"/>
        </w:rPr>
        <w:t>7</w:t>
      </w:r>
      <w:r>
        <w:rPr>
          <w:i w:val="0"/>
          <w:iCs w:val="0"/>
          <w:sz w:val="20"/>
          <w:szCs w:val="20"/>
          <w:highlight w:val="none"/>
        </w:rPr>
        <w:fldChar w:fldCharType="end"/>
      </w:r>
      <w:r>
        <w:rPr>
          <w:i w:val="0"/>
          <w:iCs w:val="0"/>
          <w:sz w:val="20"/>
          <w:szCs w:val="20"/>
          <w:highlight w:val="none"/>
        </w:rPr>
        <w:fldChar w:fldCharType="end"/>
      </w:r>
    </w:p>
    <w:p>
      <w:pPr>
        <w:pStyle w:val="43"/>
        <w:tabs>
          <w:tab w:val="right" w:leader="dot" w:pos="8788"/>
          <w:tab w:val="clear" w:pos="426"/>
        </w:tabs>
        <w:spacing w:line="240" w:lineRule="auto"/>
        <w:rPr>
          <w:rFonts w:hint="eastAsia"/>
          <w:i w:val="0"/>
          <w:iCs w:val="0"/>
          <w:sz w:val="20"/>
          <w:szCs w:val="20"/>
          <w:highlight w:val="none"/>
        </w:rPr>
      </w:pPr>
      <w:r>
        <w:rPr>
          <w:highlight w:val="none"/>
        </w:rPr>
        <w:fldChar w:fldCharType="begin"/>
      </w:r>
      <w:r>
        <w:rPr>
          <w:highlight w:val="none"/>
        </w:rPr>
        <w:instrText xml:space="preserve"> HYPERLINK \l "_Toc27732" </w:instrText>
      </w:r>
      <w:r>
        <w:rPr>
          <w:highlight w:val="none"/>
        </w:rPr>
        <w:fldChar w:fldCharType="separate"/>
      </w:r>
      <w:r>
        <w:rPr>
          <w:rFonts w:hint="eastAsia"/>
          <w:i w:val="0"/>
          <w:iCs w:val="0"/>
          <w:sz w:val="20"/>
          <w:szCs w:val="20"/>
          <w:highlight w:val="none"/>
        </w:rPr>
        <w:t>三、 技术要求</w:t>
      </w:r>
      <w:r>
        <w:rPr>
          <w:i w:val="0"/>
          <w:iCs w:val="0"/>
          <w:sz w:val="20"/>
          <w:szCs w:val="20"/>
          <w:highlight w:val="none"/>
        </w:rPr>
        <w:tab/>
      </w:r>
      <w:r>
        <w:rPr>
          <w:i w:val="0"/>
          <w:iCs w:val="0"/>
          <w:sz w:val="20"/>
          <w:szCs w:val="20"/>
          <w:highlight w:val="none"/>
        </w:rPr>
        <w:fldChar w:fldCharType="begin"/>
      </w:r>
      <w:r>
        <w:rPr>
          <w:i w:val="0"/>
          <w:iCs w:val="0"/>
          <w:sz w:val="20"/>
          <w:szCs w:val="20"/>
          <w:highlight w:val="none"/>
        </w:rPr>
        <w:instrText xml:space="preserve"> PAGEREF _Toc27732 \h </w:instrText>
      </w:r>
      <w:r>
        <w:rPr>
          <w:i w:val="0"/>
          <w:iCs w:val="0"/>
          <w:sz w:val="20"/>
          <w:szCs w:val="20"/>
          <w:highlight w:val="none"/>
        </w:rPr>
        <w:fldChar w:fldCharType="separate"/>
      </w:r>
      <w:r>
        <w:rPr>
          <w:i w:val="0"/>
          <w:iCs w:val="0"/>
          <w:sz w:val="20"/>
          <w:szCs w:val="20"/>
          <w:highlight w:val="none"/>
        </w:rPr>
        <w:t>7</w:t>
      </w:r>
      <w:r>
        <w:rPr>
          <w:i w:val="0"/>
          <w:iCs w:val="0"/>
          <w:sz w:val="20"/>
          <w:szCs w:val="20"/>
          <w:highlight w:val="none"/>
        </w:rPr>
        <w:fldChar w:fldCharType="end"/>
      </w:r>
      <w:r>
        <w:rPr>
          <w:i w:val="0"/>
          <w:iCs w:val="0"/>
          <w:sz w:val="20"/>
          <w:szCs w:val="20"/>
          <w:highlight w:val="none"/>
        </w:rPr>
        <w:fldChar w:fldCharType="end"/>
      </w:r>
    </w:p>
    <w:p>
      <w:pPr>
        <w:pStyle w:val="43"/>
        <w:tabs>
          <w:tab w:val="right" w:leader="dot" w:pos="8788"/>
          <w:tab w:val="clear" w:pos="426"/>
        </w:tabs>
        <w:spacing w:line="240" w:lineRule="auto"/>
        <w:rPr>
          <w:rFonts w:hint="eastAsia"/>
          <w:i w:val="0"/>
          <w:iCs w:val="0"/>
          <w:sz w:val="20"/>
          <w:szCs w:val="20"/>
          <w:highlight w:val="none"/>
        </w:rPr>
      </w:pPr>
      <w:r>
        <w:rPr>
          <w:highlight w:val="none"/>
        </w:rPr>
        <w:fldChar w:fldCharType="begin"/>
      </w:r>
      <w:r>
        <w:rPr>
          <w:highlight w:val="none"/>
        </w:rPr>
        <w:instrText xml:space="preserve"> HYPERLINK \l "_Toc8996" </w:instrText>
      </w:r>
      <w:r>
        <w:rPr>
          <w:highlight w:val="none"/>
        </w:rPr>
        <w:fldChar w:fldCharType="separate"/>
      </w:r>
      <w:r>
        <w:rPr>
          <w:rFonts w:hint="eastAsia"/>
          <w:i w:val="0"/>
          <w:iCs w:val="0"/>
          <w:sz w:val="20"/>
          <w:szCs w:val="20"/>
          <w:highlight w:val="none"/>
        </w:rPr>
        <w:t>四、 商务要求</w:t>
      </w:r>
      <w:r>
        <w:rPr>
          <w:i w:val="0"/>
          <w:iCs w:val="0"/>
          <w:sz w:val="20"/>
          <w:szCs w:val="20"/>
          <w:highlight w:val="none"/>
        </w:rPr>
        <w:tab/>
      </w:r>
      <w:r>
        <w:rPr>
          <w:i w:val="0"/>
          <w:iCs w:val="0"/>
          <w:sz w:val="20"/>
          <w:szCs w:val="20"/>
          <w:highlight w:val="none"/>
        </w:rPr>
        <w:fldChar w:fldCharType="begin"/>
      </w:r>
      <w:r>
        <w:rPr>
          <w:i w:val="0"/>
          <w:iCs w:val="0"/>
          <w:sz w:val="20"/>
          <w:szCs w:val="20"/>
          <w:highlight w:val="none"/>
        </w:rPr>
        <w:instrText xml:space="preserve"> PAGEREF _Toc8996 \h </w:instrText>
      </w:r>
      <w:r>
        <w:rPr>
          <w:i w:val="0"/>
          <w:iCs w:val="0"/>
          <w:sz w:val="20"/>
          <w:szCs w:val="20"/>
          <w:highlight w:val="none"/>
        </w:rPr>
        <w:fldChar w:fldCharType="separate"/>
      </w:r>
      <w:r>
        <w:rPr>
          <w:i w:val="0"/>
          <w:iCs w:val="0"/>
          <w:sz w:val="20"/>
          <w:szCs w:val="20"/>
          <w:highlight w:val="none"/>
        </w:rPr>
        <w:t>10</w:t>
      </w:r>
      <w:r>
        <w:rPr>
          <w:i w:val="0"/>
          <w:iCs w:val="0"/>
          <w:sz w:val="20"/>
          <w:szCs w:val="20"/>
          <w:highlight w:val="none"/>
        </w:rPr>
        <w:fldChar w:fldCharType="end"/>
      </w:r>
      <w:r>
        <w:rPr>
          <w:i w:val="0"/>
          <w:iCs w:val="0"/>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rFonts w:hint="eastAsia"/>
          <w:highlight w:val="none"/>
        </w:rPr>
        <w:fldChar w:fldCharType="begin"/>
      </w:r>
      <w:r>
        <w:rPr>
          <w:highlight w:val="none"/>
        </w:rPr>
        <w:instrText xml:space="preserve"> HYPERLINK \l "_Toc2525" </w:instrText>
      </w:r>
      <w:r>
        <w:rPr>
          <w:rFonts w:hint="eastAsia"/>
          <w:highlight w:val="none"/>
        </w:rPr>
        <w:fldChar w:fldCharType="separate"/>
      </w:r>
      <w:r>
        <w:rPr>
          <w:rFonts w:hint="eastAsia"/>
          <w:b/>
          <w:bCs/>
          <w:sz w:val="20"/>
          <w:szCs w:val="20"/>
          <w:highlight w:val="none"/>
        </w:rPr>
        <w:t>第三章 特别说明</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_Toc2525 \h </w:instrText>
      </w:r>
      <w:r>
        <w:rPr>
          <w:rFonts w:hint="eastAsia"/>
          <w:b/>
          <w:bCs/>
          <w:sz w:val="20"/>
          <w:szCs w:val="20"/>
          <w:highlight w:val="none"/>
        </w:rPr>
        <w:fldChar w:fldCharType="separate"/>
      </w:r>
      <w:r>
        <w:rPr>
          <w:rFonts w:hint="eastAsia"/>
          <w:b/>
          <w:bCs/>
          <w:sz w:val="20"/>
          <w:szCs w:val="20"/>
          <w:highlight w:val="none"/>
        </w:rPr>
        <w:t>12</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"_Toc25501" </w:instrText>
      </w:r>
      <w:r>
        <w:rPr>
          <w:highlight w:val="none"/>
        </w:rPr>
        <w:fldChar w:fldCharType="separate"/>
      </w:r>
      <w:r>
        <w:rPr>
          <w:rFonts w:hint="eastAsia"/>
          <w:b/>
          <w:bCs/>
          <w:sz w:val="20"/>
          <w:szCs w:val="20"/>
          <w:highlight w:val="none"/>
        </w:rPr>
        <w:t>第四章 资格审查和评标方法</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_Toc25501 \h </w:instrText>
      </w:r>
      <w:r>
        <w:rPr>
          <w:rFonts w:hint="eastAsia"/>
          <w:b/>
          <w:bCs/>
          <w:sz w:val="20"/>
          <w:szCs w:val="20"/>
          <w:highlight w:val="none"/>
        </w:rPr>
        <w:fldChar w:fldCharType="separate"/>
      </w:r>
      <w:r>
        <w:rPr>
          <w:rFonts w:hint="eastAsia"/>
          <w:b/>
          <w:bCs/>
          <w:sz w:val="20"/>
          <w:szCs w:val="20"/>
          <w:highlight w:val="none"/>
        </w:rPr>
        <w:t>13</w:t>
      </w:r>
      <w:r>
        <w:rPr>
          <w:rFonts w:hint="eastAsia"/>
          <w:b/>
          <w:bCs/>
          <w:sz w:val="20"/>
          <w:szCs w:val="20"/>
          <w:highlight w:val="none"/>
        </w:rPr>
        <w:fldChar w:fldCharType="end"/>
      </w:r>
      <w:r>
        <w:rPr>
          <w:rFonts w:hint="eastAsia"/>
          <w:b/>
          <w:bC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"_Toc12702" </w:instrText>
      </w:r>
      <w:r>
        <w:rPr>
          <w:highlight w:val="none"/>
        </w:rPr>
        <w:fldChar w:fldCharType="separate"/>
      </w:r>
      <w:r>
        <w:rPr>
          <w:rFonts w:hint="eastAsia"/>
          <w:i w:val="0"/>
          <w:iCs w:val="0"/>
          <w:smallCaps/>
          <w:sz w:val="20"/>
          <w:szCs w:val="20"/>
          <w:highlight w:val="none"/>
        </w:rPr>
        <w:t>前附表（一）</w:t>
      </w:r>
      <w:r>
        <w:rPr>
          <w:i w:val="0"/>
          <w:iCs w:val="0"/>
          <w:smallCaps/>
          <w:sz w:val="20"/>
          <w:szCs w:val="20"/>
          <w:highlight w:val="none"/>
        </w:rPr>
        <w:t>资格审查表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_Toc12702 \h </w:instrText>
      </w:r>
      <w:r>
        <w:rPr>
          <w:i w:val="0"/>
          <w:iCs w:val="0"/>
          <w:smallCaps/>
          <w:sz w:val="20"/>
          <w:szCs w:val="20"/>
          <w:highlight w:val="none"/>
        </w:rPr>
        <w:fldChar w:fldCharType="separate"/>
      </w:r>
      <w:r>
        <w:rPr>
          <w:i w:val="0"/>
          <w:iCs w:val="0"/>
          <w:smallCaps/>
          <w:sz w:val="20"/>
          <w:szCs w:val="20"/>
          <w:highlight w:val="none"/>
        </w:rPr>
        <w:t>13</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"_Toc10832" </w:instrText>
      </w:r>
      <w:r>
        <w:rPr>
          <w:highlight w:val="none"/>
        </w:rPr>
        <w:fldChar w:fldCharType="separate"/>
      </w:r>
      <w:r>
        <w:rPr>
          <w:rFonts w:hint="eastAsia"/>
          <w:i w:val="0"/>
          <w:iCs w:val="0"/>
          <w:smallCaps/>
          <w:sz w:val="20"/>
          <w:szCs w:val="20"/>
          <w:highlight w:val="none"/>
        </w:rPr>
        <w:t>前附表（二）符合性审查表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_Toc10832 \h </w:instrText>
      </w:r>
      <w:r>
        <w:rPr>
          <w:i w:val="0"/>
          <w:iCs w:val="0"/>
          <w:smallCaps/>
          <w:sz w:val="20"/>
          <w:szCs w:val="20"/>
          <w:highlight w:val="none"/>
        </w:rPr>
        <w:fldChar w:fldCharType="separate"/>
      </w:r>
      <w:r>
        <w:rPr>
          <w:i w:val="0"/>
          <w:iCs w:val="0"/>
          <w:smallCaps/>
          <w:sz w:val="20"/>
          <w:szCs w:val="20"/>
          <w:highlight w:val="none"/>
        </w:rPr>
        <w:t>14</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"_Toc11333" </w:instrText>
      </w:r>
      <w:r>
        <w:rPr>
          <w:highlight w:val="none"/>
        </w:rPr>
        <w:fldChar w:fldCharType="separate"/>
      </w:r>
      <w:r>
        <w:rPr>
          <w:rFonts w:hint="eastAsia"/>
          <w:i w:val="0"/>
          <w:iCs w:val="0"/>
          <w:smallCaps/>
          <w:sz w:val="20"/>
          <w:szCs w:val="20"/>
          <w:highlight w:val="none"/>
        </w:rPr>
        <w:t>前附表（三）综合评分法评分因素和权重分值表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_Toc11333 \h </w:instrText>
      </w:r>
      <w:r>
        <w:rPr>
          <w:i w:val="0"/>
          <w:iCs w:val="0"/>
          <w:smallCaps/>
          <w:sz w:val="20"/>
          <w:szCs w:val="20"/>
          <w:highlight w:val="none"/>
        </w:rPr>
        <w:fldChar w:fldCharType="separate"/>
      </w:r>
      <w:r>
        <w:rPr>
          <w:i w:val="0"/>
          <w:iCs w:val="0"/>
          <w:smallCaps/>
          <w:sz w:val="20"/>
          <w:szCs w:val="20"/>
          <w:highlight w:val="none"/>
        </w:rPr>
        <w:t>15</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"_Toc26041" </w:instrText>
      </w:r>
      <w:r>
        <w:rPr>
          <w:highlight w:val="none"/>
        </w:rPr>
        <w:fldChar w:fldCharType="separate"/>
      </w:r>
      <w:r>
        <w:rPr>
          <w:rFonts w:hint="eastAsia"/>
          <w:i w:val="0"/>
          <w:iCs w:val="0"/>
          <w:smallCaps/>
          <w:sz w:val="20"/>
          <w:szCs w:val="20"/>
          <w:highlight w:val="none"/>
        </w:rPr>
        <w:t>前附表（四）</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_Toc26041 \h </w:instrText>
      </w:r>
      <w:r>
        <w:rPr>
          <w:i w:val="0"/>
          <w:iCs w:val="0"/>
          <w:smallCaps/>
          <w:sz w:val="20"/>
          <w:szCs w:val="20"/>
          <w:highlight w:val="none"/>
        </w:rPr>
        <w:fldChar w:fldCharType="separate"/>
      </w:r>
      <w:r>
        <w:rPr>
          <w:i w:val="0"/>
          <w:iCs w:val="0"/>
          <w:smallCaps/>
          <w:sz w:val="20"/>
          <w:szCs w:val="20"/>
          <w:highlight w:val="none"/>
        </w:rPr>
        <w:t>18</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"_Toc12567" </w:instrText>
      </w:r>
      <w:r>
        <w:rPr>
          <w:highlight w:val="none"/>
        </w:rPr>
        <w:fldChar w:fldCharType="separate"/>
      </w:r>
      <w:r>
        <w:rPr>
          <w:rFonts w:hint="eastAsia"/>
          <w:i w:val="0"/>
          <w:iCs w:val="0"/>
          <w:smallCaps/>
          <w:sz w:val="20"/>
          <w:szCs w:val="20"/>
          <w:highlight w:val="none"/>
        </w:rPr>
        <w:t>1.资格审查</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_Toc12567 \h </w:instrText>
      </w:r>
      <w:r>
        <w:rPr>
          <w:i w:val="0"/>
          <w:iCs w:val="0"/>
          <w:smallCaps/>
          <w:sz w:val="20"/>
          <w:szCs w:val="20"/>
          <w:highlight w:val="none"/>
        </w:rPr>
        <w:fldChar w:fldCharType="separate"/>
      </w:r>
      <w:r>
        <w:rPr>
          <w:i w:val="0"/>
          <w:iCs w:val="0"/>
          <w:smallCaps/>
          <w:sz w:val="20"/>
          <w:szCs w:val="20"/>
          <w:highlight w:val="none"/>
        </w:rPr>
        <w:t>18</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"_Toc1724" </w:instrText>
      </w:r>
      <w:r>
        <w:rPr>
          <w:highlight w:val="none"/>
        </w:rPr>
        <w:fldChar w:fldCharType="separate"/>
      </w:r>
      <w:r>
        <w:rPr>
          <w:rFonts w:hint="eastAsia"/>
          <w:i w:val="0"/>
          <w:iCs w:val="0"/>
          <w:smallCaps/>
          <w:sz w:val="20"/>
          <w:szCs w:val="20"/>
          <w:highlight w:val="none"/>
        </w:rPr>
        <w:t>2.评标方法</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_Toc1724 \h </w:instrText>
      </w:r>
      <w:r>
        <w:rPr>
          <w:i w:val="0"/>
          <w:iCs w:val="0"/>
          <w:smallCaps/>
          <w:sz w:val="20"/>
          <w:szCs w:val="20"/>
          <w:highlight w:val="none"/>
        </w:rPr>
        <w:fldChar w:fldCharType="separate"/>
      </w:r>
      <w:r>
        <w:rPr>
          <w:i w:val="0"/>
          <w:iCs w:val="0"/>
          <w:smallCaps/>
          <w:sz w:val="20"/>
          <w:szCs w:val="20"/>
          <w:highlight w:val="none"/>
        </w:rPr>
        <w:t>18</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"_Toc16831" </w:instrText>
      </w:r>
      <w:r>
        <w:rPr>
          <w:highlight w:val="none"/>
        </w:rPr>
        <w:fldChar w:fldCharType="separate"/>
      </w:r>
      <w:r>
        <w:rPr>
          <w:rFonts w:hint="eastAsia"/>
          <w:i w:val="0"/>
          <w:iCs w:val="0"/>
          <w:smallCaps/>
          <w:sz w:val="20"/>
          <w:szCs w:val="20"/>
          <w:highlight w:val="none"/>
        </w:rPr>
        <w:t>3.符合性审查</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_Toc16831 \h </w:instrText>
      </w:r>
      <w:r>
        <w:rPr>
          <w:i w:val="0"/>
          <w:iCs w:val="0"/>
          <w:smallCaps/>
          <w:sz w:val="20"/>
          <w:szCs w:val="20"/>
          <w:highlight w:val="none"/>
        </w:rPr>
        <w:fldChar w:fldCharType="separate"/>
      </w:r>
      <w:r>
        <w:rPr>
          <w:i w:val="0"/>
          <w:iCs w:val="0"/>
          <w:smallCaps/>
          <w:sz w:val="20"/>
          <w:szCs w:val="20"/>
          <w:highlight w:val="none"/>
        </w:rPr>
        <w:t>19</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"_Toc29518" </w:instrText>
      </w:r>
      <w:r>
        <w:rPr>
          <w:highlight w:val="none"/>
        </w:rPr>
        <w:fldChar w:fldCharType="separate"/>
      </w:r>
      <w:r>
        <w:rPr>
          <w:rFonts w:hint="eastAsia"/>
          <w:i w:val="0"/>
          <w:iCs w:val="0"/>
          <w:smallCaps/>
          <w:sz w:val="20"/>
          <w:szCs w:val="20"/>
          <w:highlight w:val="none"/>
        </w:rPr>
        <w:t>4.比较与评价</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_Toc29518 \h </w:instrText>
      </w:r>
      <w:r>
        <w:rPr>
          <w:i w:val="0"/>
          <w:iCs w:val="0"/>
          <w:smallCaps/>
          <w:sz w:val="20"/>
          <w:szCs w:val="20"/>
          <w:highlight w:val="none"/>
        </w:rPr>
        <w:fldChar w:fldCharType="separate"/>
      </w:r>
      <w:r>
        <w:rPr>
          <w:i w:val="0"/>
          <w:iCs w:val="0"/>
          <w:smallCaps/>
          <w:sz w:val="20"/>
          <w:szCs w:val="20"/>
          <w:highlight w:val="none"/>
        </w:rPr>
        <w:t>19</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"_Toc13196" </w:instrText>
      </w:r>
      <w:r>
        <w:rPr>
          <w:highlight w:val="none"/>
        </w:rPr>
        <w:fldChar w:fldCharType="separate"/>
      </w:r>
      <w:r>
        <w:rPr>
          <w:rFonts w:hint="eastAsia"/>
          <w:i w:val="0"/>
          <w:iCs w:val="0"/>
          <w:smallCaps/>
          <w:sz w:val="20"/>
          <w:szCs w:val="20"/>
          <w:highlight w:val="none"/>
        </w:rPr>
        <w:t>5.编写评标报告</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_Toc13196 \h </w:instrText>
      </w:r>
      <w:r>
        <w:rPr>
          <w:i w:val="0"/>
          <w:iCs w:val="0"/>
          <w:smallCaps/>
          <w:sz w:val="20"/>
          <w:szCs w:val="20"/>
          <w:highlight w:val="none"/>
        </w:rPr>
        <w:fldChar w:fldCharType="separate"/>
      </w:r>
      <w:r>
        <w:rPr>
          <w:i w:val="0"/>
          <w:iCs w:val="0"/>
          <w:smallCaps/>
          <w:sz w:val="20"/>
          <w:szCs w:val="20"/>
          <w:highlight w:val="none"/>
        </w:rPr>
        <w:t>19</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"_Toc15875" </w:instrText>
      </w:r>
      <w:r>
        <w:rPr>
          <w:highlight w:val="none"/>
        </w:rPr>
        <w:fldChar w:fldCharType="separate"/>
      </w:r>
      <w:r>
        <w:rPr>
          <w:rFonts w:hint="eastAsia"/>
          <w:i w:val="0"/>
          <w:iCs w:val="0"/>
          <w:smallCaps/>
          <w:sz w:val="20"/>
          <w:szCs w:val="20"/>
          <w:highlight w:val="none"/>
        </w:rPr>
        <w:t>6.评标委员会对招标失败的论证意见</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_Toc15875 \h </w:instrText>
      </w:r>
      <w:r>
        <w:rPr>
          <w:i w:val="0"/>
          <w:iCs w:val="0"/>
          <w:smallCaps/>
          <w:sz w:val="20"/>
          <w:szCs w:val="20"/>
          <w:highlight w:val="none"/>
        </w:rPr>
        <w:fldChar w:fldCharType="separate"/>
      </w:r>
      <w:r>
        <w:rPr>
          <w:i w:val="0"/>
          <w:iCs w:val="0"/>
          <w:smallCaps/>
          <w:sz w:val="20"/>
          <w:szCs w:val="20"/>
          <w:highlight w:val="none"/>
        </w:rPr>
        <w:t>20</w:t>
      </w:r>
      <w:r>
        <w:rPr>
          <w:i w:val="0"/>
          <w:iCs w:val="0"/>
          <w:smallCaps/>
          <w:sz w:val="20"/>
          <w:szCs w:val="20"/>
          <w:highlight w:val="none"/>
        </w:rPr>
        <w:fldChar w:fldCharType="end"/>
      </w:r>
      <w:r>
        <w:rPr>
          <w:i w:val="0"/>
          <w:iCs w:val="0"/>
          <w:smallCap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"_Toc7991" </w:instrText>
      </w:r>
      <w:r>
        <w:rPr>
          <w:highlight w:val="none"/>
        </w:rPr>
        <w:fldChar w:fldCharType="separate"/>
      </w:r>
      <w:r>
        <w:rPr>
          <w:rFonts w:hint="eastAsia"/>
          <w:b/>
          <w:bCs/>
          <w:sz w:val="20"/>
          <w:szCs w:val="20"/>
          <w:highlight w:val="none"/>
        </w:rPr>
        <w:t>第五章 合同文本</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_Toc7991 \h </w:instrText>
      </w:r>
      <w:r>
        <w:rPr>
          <w:rFonts w:hint="eastAsia"/>
          <w:b/>
          <w:bCs/>
          <w:sz w:val="20"/>
          <w:szCs w:val="20"/>
          <w:highlight w:val="none"/>
        </w:rPr>
        <w:fldChar w:fldCharType="separate"/>
      </w:r>
      <w:r>
        <w:rPr>
          <w:rFonts w:hint="eastAsia"/>
          <w:b/>
          <w:bCs/>
          <w:sz w:val="20"/>
          <w:szCs w:val="20"/>
          <w:highlight w:val="none"/>
        </w:rPr>
        <w:t>21</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"_Toc4933" </w:instrText>
      </w:r>
      <w:r>
        <w:rPr>
          <w:highlight w:val="none"/>
        </w:rPr>
        <w:fldChar w:fldCharType="separate"/>
      </w:r>
      <w:r>
        <w:rPr>
          <w:rFonts w:hint="eastAsia"/>
          <w:b/>
          <w:bCs/>
          <w:sz w:val="20"/>
          <w:szCs w:val="20"/>
          <w:highlight w:val="none"/>
        </w:rPr>
        <w:t>第六章 投标资料表</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_Toc4933 \h </w:instrText>
      </w:r>
      <w:r>
        <w:rPr>
          <w:rFonts w:hint="eastAsia"/>
          <w:b/>
          <w:bCs/>
          <w:sz w:val="20"/>
          <w:szCs w:val="20"/>
          <w:highlight w:val="none"/>
        </w:rPr>
        <w:fldChar w:fldCharType="separate"/>
      </w:r>
      <w:r>
        <w:rPr>
          <w:rFonts w:hint="eastAsia"/>
          <w:b/>
          <w:bCs/>
          <w:sz w:val="20"/>
          <w:szCs w:val="20"/>
          <w:highlight w:val="none"/>
        </w:rPr>
        <w:t>35</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"_Toc25551" </w:instrText>
      </w:r>
      <w:r>
        <w:rPr>
          <w:highlight w:val="none"/>
        </w:rPr>
        <w:fldChar w:fldCharType="separate"/>
      </w:r>
      <w:r>
        <w:rPr>
          <w:rFonts w:hint="eastAsia"/>
          <w:b/>
          <w:bCs/>
          <w:sz w:val="20"/>
          <w:szCs w:val="20"/>
          <w:highlight w:val="none"/>
        </w:rPr>
        <w:t>第七章 投标文件格式</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_Toc25551 \h </w:instrText>
      </w:r>
      <w:r>
        <w:rPr>
          <w:rFonts w:hint="eastAsia"/>
          <w:b/>
          <w:bCs/>
          <w:sz w:val="20"/>
          <w:szCs w:val="20"/>
          <w:highlight w:val="none"/>
        </w:rPr>
        <w:fldChar w:fldCharType="separate"/>
      </w:r>
      <w:r>
        <w:rPr>
          <w:rFonts w:hint="eastAsia"/>
          <w:b/>
          <w:bCs/>
          <w:sz w:val="20"/>
          <w:szCs w:val="20"/>
          <w:highlight w:val="none"/>
        </w:rPr>
        <w:t>36</w:t>
      </w:r>
      <w:r>
        <w:rPr>
          <w:rFonts w:hint="eastAsia"/>
          <w:b/>
          <w:bCs/>
          <w:sz w:val="20"/>
          <w:szCs w:val="20"/>
          <w:highlight w:val="none"/>
        </w:rPr>
        <w:fldChar w:fldCharType="end"/>
      </w:r>
      <w:r>
        <w:rPr>
          <w:rFonts w:hint="eastAsia"/>
          <w:b/>
          <w:bC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"_Toc20740" </w:instrText>
      </w:r>
      <w:r>
        <w:rPr>
          <w:highlight w:val="none"/>
        </w:rPr>
        <w:fldChar w:fldCharType="separate"/>
      </w:r>
      <w:r>
        <w:rPr>
          <w:rFonts w:hint="eastAsia"/>
          <w:i w:val="0"/>
          <w:iCs w:val="0"/>
          <w:smallCaps/>
          <w:sz w:val="20"/>
          <w:szCs w:val="20"/>
          <w:highlight w:val="none"/>
        </w:rPr>
        <w:t>投标文件编制说明</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_Toc20740 \h </w:instrText>
      </w:r>
      <w:r>
        <w:rPr>
          <w:i w:val="0"/>
          <w:iCs w:val="0"/>
          <w:smallCaps/>
          <w:sz w:val="20"/>
          <w:szCs w:val="20"/>
          <w:highlight w:val="none"/>
        </w:rPr>
        <w:fldChar w:fldCharType="separate"/>
      </w:r>
      <w:r>
        <w:rPr>
          <w:i w:val="0"/>
          <w:iCs w:val="0"/>
          <w:smallCaps/>
          <w:sz w:val="20"/>
          <w:szCs w:val="20"/>
          <w:highlight w:val="none"/>
        </w:rPr>
        <w:t>36</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"_Toc32283" </w:instrText>
      </w:r>
      <w:r>
        <w:rPr>
          <w:highlight w:val="none"/>
        </w:rPr>
        <w:fldChar w:fldCharType="separate"/>
      </w:r>
      <w:r>
        <w:rPr>
          <w:rFonts w:hint="eastAsia"/>
          <w:i w:val="0"/>
          <w:iCs w:val="0"/>
          <w:smallCaps/>
          <w:sz w:val="20"/>
          <w:szCs w:val="20"/>
          <w:highlight w:val="none"/>
        </w:rPr>
        <w:t>格式1：投标函</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_Toc32283 \h </w:instrText>
      </w:r>
      <w:r>
        <w:rPr>
          <w:i w:val="0"/>
          <w:iCs w:val="0"/>
          <w:smallCaps/>
          <w:sz w:val="20"/>
          <w:szCs w:val="20"/>
          <w:highlight w:val="none"/>
        </w:rPr>
        <w:fldChar w:fldCharType="separate"/>
      </w:r>
      <w:r>
        <w:rPr>
          <w:i w:val="0"/>
          <w:iCs w:val="0"/>
          <w:smallCaps/>
          <w:sz w:val="20"/>
          <w:szCs w:val="20"/>
          <w:highlight w:val="none"/>
        </w:rPr>
        <w:t>42</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"_Toc9501" </w:instrText>
      </w:r>
      <w:r>
        <w:rPr>
          <w:highlight w:val="none"/>
        </w:rPr>
        <w:fldChar w:fldCharType="separate"/>
      </w:r>
      <w:r>
        <w:rPr>
          <w:rFonts w:hint="eastAsia"/>
          <w:i w:val="0"/>
          <w:iCs w:val="0"/>
          <w:smallCaps/>
          <w:sz w:val="20"/>
          <w:szCs w:val="20"/>
          <w:highlight w:val="none"/>
        </w:rPr>
        <w:t>格式2：法定代表人（单位负责人）证明书</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_Toc9501 \h </w:instrText>
      </w:r>
      <w:r>
        <w:rPr>
          <w:i w:val="0"/>
          <w:iCs w:val="0"/>
          <w:smallCaps/>
          <w:sz w:val="20"/>
          <w:szCs w:val="20"/>
          <w:highlight w:val="none"/>
        </w:rPr>
        <w:fldChar w:fldCharType="separate"/>
      </w:r>
      <w:r>
        <w:rPr>
          <w:i w:val="0"/>
          <w:iCs w:val="0"/>
          <w:smallCaps/>
          <w:sz w:val="20"/>
          <w:szCs w:val="20"/>
          <w:highlight w:val="none"/>
        </w:rPr>
        <w:t>43</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"_Toc16372" </w:instrText>
      </w:r>
      <w:r>
        <w:rPr>
          <w:highlight w:val="none"/>
        </w:rPr>
        <w:fldChar w:fldCharType="separate"/>
      </w:r>
      <w:r>
        <w:rPr>
          <w:rFonts w:hint="eastAsia"/>
          <w:i w:val="0"/>
          <w:iCs w:val="0"/>
          <w:smallCaps/>
          <w:sz w:val="20"/>
          <w:szCs w:val="20"/>
          <w:highlight w:val="none"/>
        </w:rPr>
        <w:t>格式3：授权委托书</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_Toc16372 \h </w:instrText>
      </w:r>
      <w:r>
        <w:rPr>
          <w:i w:val="0"/>
          <w:iCs w:val="0"/>
          <w:smallCaps/>
          <w:sz w:val="20"/>
          <w:szCs w:val="20"/>
          <w:highlight w:val="none"/>
        </w:rPr>
        <w:fldChar w:fldCharType="separate"/>
      </w:r>
      <w:r>
        <w:rPr>
          <w:i w:val="0"/>
          <w:iCs w:val="0"/>
          <w:smallCaps/>
          <w:sz w:val="20"/>
          <w:szCs w:val="20"/>
          <w:highlight w:val="none"/>
        </w:rPr>
        <w:t>44</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"_Toc12237" </w:instrText>
      </w:r>
      <w:r>
        <w:rPr>
          <w:highlight w:val="none"/>
        </w:rPr>
        <w:fldChar w:fldCharType="separate"/>
      </w:r>
      <w:r>
        <w:rPr>
          <w:rFonts w:hint="eastAsia"/>
          <w:i w:val="0"/>
          <w:iCs w:val="0"/>
          <w:smallCaps/>
          <w:sz w:val="20"/>
          <w:szCs w:val="20"/>
          <w:highlight w:val="none"/>
        </w:rPr>
        <w:t>格式4：资格条款偏离表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_Toc12237 \h </w:instrText>
      </w:r>
      <w:r>
        <w:rPr>
          <w:i w:val="0"/>
          <w:iCs w:val="0"/>
          <w:smallCaps/>
          <w:sz w:val="20"/>
          <w:szCs w:val="20"/>
          <w:highlight w:val="none"/>
        </w:rPr>
        <w:fldChar w:fldCharType="separate"/>
      </w:r>
      <w:r>
        <w:rPr>
          <w:i w:val="0"/>
          <w:iCs w:val="0"/>
          <w:smallCaps/>
          <w:sz w:val="20"/>
          <w:szCs w:val="20"/>
          <w:highlight w:val="none"/>
        </w:rPr>
        <w:t>45</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"_Toc3927" </w:instrText>
      </w:r>
      <w:r>
        <w:rPr>
          <w:highlight w:val="none"/>
        </w:rPr>
        <w:fldChar w:fldCharType="separate"/>
      </w:r>
      <w:r>
        <w:rPr>
          <w:rFonts w:hint="eastAsia"/>
          <w:i w:val="0"/>
          <w:iCs w:val="0"/>
          <w:smallCaps/>
          <w:sz w:val="20"/>
          <w:szCs w:val="20"/>
          <w:highlight w:val="none"/>
        </w:rPr>
        <w:t>格式5：法人或者其他组织的营业执照等证明文件</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_Toc3927 \h </w:instrText>
      </w:r>
      <w:r>
        <w:rPr>
          <w:i w:val="0"/>
          <w:iCs w:val="0"/>
          <w:smallCaps/>
          <w:sz w:val="20"/>
          <w:szCs w:val="20"/>
          <w:highlight w:val="none"/>
        </w:rPr>
        <w:fldChar w:fldCharType="separate"/>
      </w:r>
      <w:r>
        <w:rPr>
          <w:i w:val="0"/>
          <w:iCs w:val="0"/>
          <w:smallCaps/>
          <w:sz w:val="20"/>
          <w:szCs w:val="20"/>
          <w:highlight w:val="none"/>
        </w:rPr>
        <w:t>47</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"_Toc21226" </w:instrText>
      </w:r>
      <w:r>
        <w:rPr>
          <w:highlight w:val="none"/>
        </w:rPr>
        <w:fldChar w:fldCharType="separate"/>
      </w:r>
      <w:r>
        <w:rPr>
          <w:rFonts w:hint="eastAsia"/>
          <w:i w:val="0"/>
          <w:iCs w:val="0"/>
          <w:smallCaps/>
          <w:sz w:val="20"/>
          <w:szCs w:val="20"/>
          <w:highlight w:val="none"/>
        </w:rPr>
        <w:t>格式6：投标人资格声明函</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_Toc21226 \h </w:instrText>
      </w:r>
      <w:r>
        <w:rPr>
          <w:i w:val="0"/>
          <w:iCs w:val="0"/>
          <w:smallCaps/>
          <w:sz w:val="20"/>
          <w:szCs w:val="20"/>
          <w:highlight w:val="none"/>
        </w:rPr>
        <w:fldChar w:fldCharType="separate"/>
      </w:r>
      <w:r>
        <w:rPr>
          <w:i w:val="0"/>
          <w:iCs w:val="0"/>
          <w:smallCaps/>
          <w:sz w:val="20"/>
          <w:szCs w:val="20"/>
          <w:highlight w:val="none"/>
        </w:rPr>
        <w:t>48</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"_Toc21325" </w:instrText>
      </w:r>
      <w:r>
        <w:rPr>
          <w:highlight w:val="none"/>
        </w:rPr>
        <w:fldChar w:fldCharType="separate"/>
      </w:r>
      <w:r>
        <w:rPr>
          <w:rFonts w:hint="eastAsia"/>
          <w:i w:val="0"/>
          <w:iCs w:val="0"/>
          <w:smallCaps/>
          <w:sz w:val="20"/>
          <w:szCs w:val="20"/>
          <w:highlight w:val="none"/>
        </w:rPr>
        <w:t>格式7：开标一览表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_Toc21325 \h </w:instrText>
      </w:r>
      <w:r>
        <w:rPr>
          <w:i w:val="0"/>
          <w:iCs w:val="0"/>
          <w:smallCaps/>
          <w:sz w:val="20"/>
          <w:szCs w:val="20"/>
          <w:highlight w:val="none"/>
        </w:rPr>
        <w:fldChar w:fldCharType="separate"/>
      </w:r>
      <w:r>
        <w:rPr>
          <w:i w:val="0"/>
          <w:iCs w:val="0"/>
          <w:smallCaps/>
          <w:sz w:val="20"/>
          <w:szCs w:val="20"/>
          <w:highlight w:val="none"/>
        </w:rPr>
        <w:t>50</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"_Toc23484" </w:instrText>
      </w:r>
      <w:r>
        <w:rPr>
          <w:highlight w:val="none"/>
        </w:rPr>
        <w:fldChar w:fldCharType="separate"/>
      </w:r>
      <w:r>
        <w:rPr>
          <w:rFonts w:hint="eastAsia"/>
          <w:i w:val="0"/>
          <w:iCs w:val="0"/>
          <w:smallCaps/>
          <w:sz w:val="20"/>
          <w:szCs w:val="20"/>
          <w:highlight w:val="none"/>
        </w:rPr>
        <w:t>格式8：投标分项报价表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_Toc23484 \h </w:instrText>
      </w:r>
      <w:r>
        <w:rPr>
          <w:i w:val="0"/>
          <w:iCs w:val="0"/>
          <w:smallCaps/>
          <w:sz w:val="20"/>
          <w:szCs w:val="20"/>
          <w:highlight w:val="none"/>
        </w:rPr>
        <w:fldChar w:fldCharType="separate"/>
      </w:r>
      <w:r>
        <w:rPr>
          <w:i w:val="0"/>
          <w:iCs w:val="0"/>
          <w:smallCaps/>
          <w:sz w:val="20"/>
          <w:szCs w:val="20"/>
          <w:highlight w:val="none"/>
        </w:rPr>
        <w:t>51</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HYPERLINK \l "_Toc9437"</w:instrText>
      </w:r>
      <w:r>
        <w:rPr>
          <w:highlight w:val="none"/>
        </w:rPr>
        <w:fldChar w:fldCharType="separate"/>
      </w:r>
      <w:r>
        <w:rPr>
          <w:rFonts w:hint="eastAsia"/>
          <w:i w:val="0"/>
          <w:iCs w:val="0"/>
          <w:smallCaps/>
          <w:sz w:val="20"/>
          <w:szCs w:val="20"/>
          <w:highlight w:val="none"/>
        </w:rPr>
        <w:t>格式9：技术规格偏离表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_Toc9437 \h </w:instrText>
      </w:r>
      <w:r>
        <w:rPr>
          <w:i w:val="0"/>
          <w:iCs w:val="0"/>
          <w:smallCaps/>
          <w:sz w:val="20"/>
          <w:szCs w:val="20"/>
          <w:highlight w:val="none"/>
        </w:rPr>
        <w:fldChar w:fldCharType="separate"/>
      </w:r>
      <w:r>
        <w:rPr>
          <w:i w:val="0"/>
          <w:iCs w:val="0"/>
          <w:smallCaps/>
          <w:sz w:val="20"/>
          <w:szCs w:val="20"/>
          <w:highlight w:val="none"/>
        </w:rPr>
        <w:t>52</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HYPERLINK \l "_Toc25758"</w:instrText>
      </w:r>
      <w:r>
        <w:rPr>
          <w:highlight w:val="none"/>
        </w:rPr>
        <w:fldChar w:fldCharType="separate"/>
      </w:r>
      <w:r>
        <w:rPr>
          <w:rFonts w:hint="eastAsia"/>
          <w:i w:val="0"/>
          <w:iCs w:val="0"/>
          <w:smallCaps/>
          <w:sz w:val="20"/>
          <w:szCs w:val="20"/>
          <w:highlight w:val="none"/>
        </w:rPr>
        <w:t>格式10：技术保障措施</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_Toc25758 \h </w:instrText>
      </w:r>
      <w:r>
        <w:rPr>
          <w:i w:val="0"/>
          <w:iCs w:val="0"/>
          <w:smallCaps/>
          <w:sz w:val="20"/>
          <w:szCs w:val="20"/>
          <w:highlight w:val="none"/>
        </w:rPr>
        <w:fldChar w:fldCharType="separate"/>
      </w:r>
      <w:r>
        <w:rPr>
          <w:i w:val="0"/>
          <w:iCs w:val="0"/>
          <w:smallCaps/>
          <w:sz w:val="20"/>
          <w:szCs w:val="20"/>
          <w:highlight w:val="none"/>
        </w:rPr>
        <w:t>53</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HYPERLINK \l "_Toc19609"</w:instrText>
      </w:r>
      <w:r>
        <w:rPr>
          <w:highlight w:val="none"/>
        </w:rPr>
        <w:fldChar w:fldCharType="separate"/>
      </w:r>
      <w:r>
        <w:rPr>
          <w:rFonts w:hint="eastAsia"/>
          <w:i w:val="0"/>
          <w:iCs w:val="0"/>
          <w:smallCaps/>
          <w:sz w:val="20"/>
          <w:szCs w:val="20"/>
          <w:highlight w:val="none"/>
        </w:rPr>
        <w:t>格式11：售后服务方案</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_Toc19609 \h </w:instrText>
      </w:r>
      <w:r>
        <w:rPr>
          <w:i w:val="0"/>
          <w:iCs w:val="0"/>
          <w:smallCaps/>
          <w:sz w:val="20"/>
          <w:szCs w:val="20"/>
          <w:highlight w:val="none"/>
        </w:rPr>
        <w:fldChar w:fldCharType="separate"/>
      </w:r>
      <w:r>
        <w:rPr>
          <w:i w:val="0"/>
          <w:iCs w:val="0"/>
          <w:smallCaps/>
          <w:sz w:val="20"/>
          <w:szCs w:val="20"/>
          <w:highlight w:val="none"/>
        </w:rPr>
        <w:t>53</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"_Toc29923" </w:instrText>
      </w:r>
      <w:r>
        <w:rPr>
          <w:highlight w:val="none"/>
        </w:rPr>
        <w:fldChar w:fldCharType="separate"/>
      </w:r>
      <w:r>
        <w:rPr>
          <w:rFonts w:hint="eastAsia"/>
          <w:i w:val="0"/>
          <w:iCs w:val="0"/>
          <w:smallCaps/>
          <w:sz w:val="20"/>
          <w:szCs w:val="20"/>
          <w:highlight w:val="none"/>
        </w:rPr>
        <w:t>格式12：商务条款偏离表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_Toc29923 \h </w:instrText>
      </w:r>
      <w:r>
        <w:rPr>
          <w:i w:val="0"/>
          <w:iCs w:val="0"/>
          <w:smallCaps/>
          <w:sz w:val="20"/>
          <w:szCs w:val="20"/>
          <w:highlight w:val="none"/>
        </w:rPr>
        <w:fldChar w:fldCharType="separate"/>
      </w:r>
      <w:r>
        <w:rPr>
          <w:i w:val="0"/>
          <w:iCs w:val="0"/>
          <w:smallCaps/>
          <w:sz w:val="20"/>
          <w:szCs w:val="20"/>
          <w:highlight w:val="none"/>
        </w:rPr>
        <w:t>54</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 HYPERLINK \l "_Toc6533" </w:instrText>
      </w:r>
      <w:r>
        <w:rPr>
          <w:highlight w:val="none"/>
        </w:rPr>
        <w:fldChar w:fldCharType="separate"/>
      </w:r>
      <w:r>
        <w:rPr>
          <w:rFonts w:hint="eastAsia"/>
          <w:i w:val="0"/>
          <w:iCs w:val="0"/>
          <w:smallCaps/>
          <w:sz w:val="20"/>
          <w:szCs w:val="20"/>
          <w:highlight w:val="none"/>
        </w:rPr>
        <w:t>格式13：投标人综合概况简表</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_Toc6533 \h </w:instrText>
      </w:r>
      <w:r>
        <w:rPr>
          <w:i w:val="0"/>
          <w:iCs w:val="0"/>
          <w:smallCaps/>
          <w:sz w:val="20"/>
          <w:szCs w:val="20"/>
          <w:highlight w:val="none"/>
        </w:rPr>
        <w:fldChar w:fldCharType="separate"/>
      </w:r>
      <w:r>
        <w:rPr>
          <w:i w:val="0"/>
          <w:iCs w:val="0"/>
          <w:smallCaps/>
          <w:sz w:val="20"/>
          <w:szCs w:val="20"/>
          <w:highlight w:val="none"/>
        </w:rPr>
        <w:t>55</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HYPERLINK \l "_Toc22664"</w:instrText>
      </w:r>
      <w:r>
        <w:rPr>
          <w:highlight w:val="none"/>
        </w:rPr>
        <w:fldChar w:fldCharType="separate"/>
      </w:r>
      <w:r>
        <w:rPr>
          <w:rFonts w:hint="eastAsia"/>
          <w:i w:val="0"/>
          <w:iCs w:val="0"/>
          <w:smallCaps/>
          <w:sz w:val="20"/>
          <w:szCs w:val="20"/>
          <w:highlight w:val="none"/>
        </w:rPr>
        <w:t>格式14：企业类型声明函（可选）</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_Toc22664 \h </w:instrText>
      </w:r>
      <w:r>
        <w:rPr>
          <w:i w:val="0"/>
          <w:iCs w:val="0"/>
          <w:smallCaps/>
          <w:sz w:val="20"/>
          <w:szCs w:val="20"/>
          <w:highlight w:val="none"/>
        </w:rPr>
        <w:fldChar w:fldCharType="separate"/>
      </w:r>
      <w:r>
        <w:rPr>
          <w:i w:val="0"/>
          <w:iCs w:val="0"/>
          <w:smallCaps/>
          <w:sz w:val="20"/>
          <w:szCs w:val="20"/>
          <w:highlight w:val="none"/>
        </w:rPr>
        <w:t>56</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HYPERLINK \l "_Toc17528"</w:instrText>
      </w:r>
      <w:r>
        <w:rPr>
          <w:highlight w:val="none"/>
        </w:rPr>
        <w:fldChar w:fldCharType="separate"/>
      </w:r>
      <w:r>
        <w:rPr>
          <w:rFonts w:hint="eastAsia"/>
          <w:i w:val="0"/>
          <w:iCs w:val="0"/>
          <w:smallCaps/>
          <w:sz w:val="20"/>
          <w:szCs w:val="20"/>
          <w:highlight w:val="none"/>
        </w:rPr>
        <w:t>格式15：残疾人福利性单位声明函（可选）</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_Toc17528 \h </w:instrText>
      </w:r>
      <w:r>
        <w:rPr>
          <w:i w:val="0"/>
          <w:iCs w:val="0"/>
          <w:smallCaps/>
          <w:sz w:val="20"/>
          <w:szCs w:val="20"/>
          <w:highlight w:val="none"/>
        </w:rPr>
        <w:fldChar w:fldCharType="separate"/>
      </w:r>
      <w:r>
        <w:rPr>
          <w:i w:val="0"/>
          <w:iCs w:val="0"/>
          <w:smallCaps/>
          <w:sz w:val="20"/>
          <w:szCs w:val="20"/>
          <w:highlight w:val="none"/>
        </w:rPr>
        <w:t>59</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HYPERLINK \l "_Toc14001"</w:instrText>
      </w:r>
      <w:r>
        <w:rPr>
          <w:highlight w:val="none"/>
        </w:rPr>
        <w:fldChar w:fldCharType="separate"/>
      </w:r>
      <w:r>
        <w:rPr>
          <w:rFonts w:hint="eastAsia"/>
          <w:i w:val="0"/>
          <w:iCs w:val="0"/>
          <w:smallCaps/>
          <w:sz w:val="20"/>
          <w:szCs w:val="20"/>
          <w:highlight w:val="none"/>
        </w:rPr>
        <w:t>格式16：同类项目业绩情况</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_Toc14001 \h </w:instrText>
      </w:r>
      <w:r>
        <w:rPr>
          <w:i w:val="0"/>
          <w:iCs w:val="0"/>
          <w:smallCaps/>
          <w:sz w:val="20"/>
          <w:szCs w:val="20"/>
          <w:highlight w:val="none"/>
        </w:rPr>
        <w:fldChar w:fldCharType="separate"/>
      </w:r>
      <w:r>
        <w:rPr>
          <w:i w:val="0"/>
          <w:iCs w:val="0"/>
          <w:smallCaps/>
          <w:sz w:val="20"/>
          <w:szCs w:val="20"/>
          <w:highlight w:val="none"/>
        </w:rPr>
        <w:t>60</w:t>
      </w:r>
      <w:r>
        <w:rPr>
          <w:i w:val="0"/>
          <w:iCs w:val="0"/>
          <w:smallCaps/>
          <w:sz w:val="20"/>
          <w:szCs w:val="20"/>
          <w:highlight w:val="none"/>
        </w:rPr>
        <w:fldChar w:fldCharType="end"/>
      </w:r>
      <w:r>
        <w:rPr>
          <w:i w:val="0"/>
          <w:iCs w:val="0"/>
          <w:smallCaps/>
          <w:sz w:val="20"/>
          <w:szCs w:val="20"/>
          <w:highlight w:val="none"/>
        </w:rPr>
        <w:fldChar w:fldCharType="end"/>
      </w:r>
    </w:p>
    <w:p>
      <w:pPr>
        <w:pStyle w:val="43"/>
        <w:tabs>
          <w:tab w:val="right" w:leader="dot" w:pos="8788"/>
          <w:tab w:val="clear" w:pos="426"/>
        </w:tabs>
        <w:spacing w:line="240" w:lineRule="auto"/>
        <w:rPr>
          <w:rFonts w:hint="eastAsia"/>
          <w:i w:val="0"/>
          <w:iCs w:val="0"/>
          <w:smallCaps/>
          <w:sz w:val="20"/>
          <w:szCs w:val="20"/>
          <w:highlight w:val="none"/>
        </w:rPr>
      </w:pPr>
      <w:r>
        <w:rPr>
          <w:highlight w:val="none"/>
        </w:rPr>
        <w:fldChar w:fldCharType="begin"/>
      </w:r>
      <w:r>
        <w:rPr>
          <w:highlight w:val="none"/>
        </w:rPr>
        <w:instrText xml:space="preserve">HYPERLINK \l "_Toc27416"</w:instrText>
      </w:r>
      <w:r>
        <w:rPr>
          <w:highlight w:val="none"/>
        </w:rPr>
        <w:fldChar w:fldCharType="separate"/>
      </w:r>
      <w:r>
        <w:rPr>
          <w:rFonts w:hint="eastAsia"/>
          <w:i w:val="0"/>
          <w:iCs w:val="0"/>
          <w:smallCaps/>
          <w:sz w:val="20"/>
          <w:szCs w:val="20"/>
          <w:highlight w:val="none"/>
        </w:rPr>
        <w:t>格式17：相关认证情况</w:t>
      </w:r>
      <w:r>
        <w:rPr>
          <w:i w:val="0"/>
          <w:iCs w:val="0"/>
          <w:smallCaps/>
          <w:sz w:val="20"/>
          <w:szCs w:val="20"/>
          <w:highlight w:val="none"/>
        </w:rPr>
        <w:tab/>
      </w:r>
      <w:r>
        <w:rPr>
          <w:i w:val="0"/>
          <w:iCs w:val="0"/>
          <w:smallCaps/>
          <w:sz w:val="20"/>
          <w:szCs w:val="20"/>
          <w:highlight w:val="none"/>
        </w:rPr>
        <w:fldChar w:fldCharType="begin"/>
      </w:r>
      <w:r>
        <w:rPr>
          <w:i w:val="0"/>
          <w:iCs w:val="0"/>
          <w:smallCaps/>
          <w:sz w:val="20"/>
          <w:szCs w:val="20"/>
          <w:highlight w:val="none"/>
        </w:rPr>
        <w:instrText xml:space="preserve"> PAGEREF _Toc27416 \h </w:instrText>
      </w:r>
      <w:r>
        <w:rPr>
          <w:i w:val="0"/>
          <w:iCs w:val="0"/>
          <w:smallCaps/>
          <w:sz w:val="20"/>
          <w:szCs w:val="20"/>
          <w:highlight w:val="none"/>
        </w:rPr>
        <w:fldChar w:fldCharType="separate"/>
      </w:r>
      <w:r>
        <w:rPr>
          <w:i w:val="0"/>
          <w:iCs w:val="0"/>
          <w:smallCaps/>
          <w:sz w:val="20"/>
          <w:szCs w:val="20"/>
          <w:highlight w:val="none"/>
        </w:rPr>
        <w:t>61</w:t>
      </w:r>
      <w:r>
        <w:rPr>
          <w:i w:val="0"/>
          <w:iCs w:val="0"/>
          <w:smallCaps/>
          <w:sz w:val="20"/>
          <w:szCs w:val="20"/>
          <w:highlight w:val="none"/>
        </w:rPr>
        <w:fldChar w:fldCharType="end"/>
      </w:r>
      <w:r>
        <w:rPr>
          <w:i w:val="0"/>
          <w:iCs w:val="0"/>
          <w:smallCaps/>
          <w:sz w:val="20"/>
          <w:szCs w:val="20"/>
          <w:highlight w:val="none"/>
        </w:rPr>
        <w:fldChar w:fldCharType="end"/>
      </w:r>
    </w:p>
    <w:p>
      <w:pPr>
        <w:pStyle w:val="71"/>
        <w:tabs>
          <w:tab w:val="right" w:leader="dot" w:pos="8788"/>
          <w:tab w:val="clear" w:pos="8789"/>
        </w:tabs>
        <w:spacing w:line="240" w:lineRule="auto"/>
        <w:ind w:left="105"/>
        <w:rPr>
          <w:rFonts w:hint="eastAsia" w:ascii="黑体" w:hAnsi="黑体" w:eastAsia="黑体" w:cs="黑体"/>
          <w:b/>
          <w:bCs/>
          <w:sz w:val="20"/>
          <w:szCs w:val="20"/>
          <w:highlight w:val="none"/>
        </w:rPr>
      </w:pPr>
      <w:r>
        <w:rPr>
          <w:highlight w:val="none"/>
        </w:rPr>
        <w:fldChar w:fldCharType="begin"/>
      </w:r>
      <w:r>
        <w:rPr>
          <w:highlight w:val="none"/>
        </w:rPr>
        <w:instrText xml:space="preserve"> HYPERLINK \l "_Toc25882" </w:instrText>
      </w:r>
      <w:r>
        <w:rPr>
          <w:highlight w:val="none"/>
        </w:rPr>
        <w:fldChar w:fldCharType="separate"/>
      </w:r>
      <w:r>
        <w:rPr>
          <w:rFonts w:hint="eastAsia" w:ascii="黑体" w:hAnsi="黑体" w:eastAsia="黑体" w:cs="黑体"/>
          <w:b/>
          <w:bCs/>
          <w:sz w:val="20"/>
          <w:szCs w:val="20"/>
          <w:highlight w:val="none"/>
        </w:rPr>
        <w:t>招标文件第二册（通用部分）</w:t>
      </w:r>
      <w:r>
        <w:rPr>
          <w:rFonts w:hint="eastAsia" w:ascii="黑体" w:hAnsi="黑体" w:eastAsia="黑体" w:cs="黑体"/>
          <w:b/>
          <w:bCs/>
          <w:sz w:val="20"/>
          <w:szCs w:val="20"/>
          <w:highlight w:val="none"/>
        </w:rPr>
        <w:tab/>
      </w:r>
      <w:r>
        <w:rPr>
          <w:rFonts w:hint="eastAsia" w:ascii="黑体" w:hAnsi="黑体" w:eastAsia="黑体" w:cs="黑体"/>
          <w:b/>
          <w:bCs/>
          <w:sz w:val="20"/>
          <w:szCs w:val="20"/>
          <w:highlight w:val="none"/>
        </w:rPr>
        <w:fldChar w:fldCharType="begin"/>
      </w:r>
      <w:r>
        <w:rPr>
          <w:rFonts w:hint="eastAsia" w:ascii="黑体" w:hAnsi="黑体" w:eastAsia="黑体" w:cs="黑体"/>
          <w:b/>
          <w:bCs/>
          <w:sz w:val="20"/>
          <w:szCs w:val="20"/>
          <w:highlight w:val="none"/>
        </w:rPr>
        <w:instrText xml:space="preserve"> PAGEREF _Toc25882 \h </w:instrText>
      </w:r>
      <w:r>
        <w:rPr>
          <w:rFonts w:hint="eastAsia" w:ascii="黑体" w:hAnsi="黑体" w:eastAsia="黑体" w:cs="黑体"/>
          <w:b/>
          <w:bCs/>
          <w:sz w:val="20"/>
          <w:szCs w:val="20"/>
          <w:highlight w:val="none"/>
        </w:rPr>
        <w:fldChar w:fldCharType="separate"/>
      </w:r>
      <w:r>
        <w:rPr>
          <w:rFonts w:hint="eastAsia" w:ascii="黑体" w:hAnsi="黑体" w:eastAsia="黑体" w:cs="黑体"/>
          <w:b/>
          <w:bCs/>
          <w:sz w:val="20"/>
          <w:szCs w:val="20"/>
          <w:highlight w:val="none"/>
        </w:rPr>
        <w:t>62</w:t>
      </w:r>
      <w:r>
        <w:rPr>
          <w:rFonts w:hint="eastAsia" w:ascii="黑体" w:hAnsi="黑体" w:eastAsia="黑体" w:cs="黑体"/>
          <w:b/>
          <w:bCs/>
          <w:sz w:val="20"/>
          <w:szCs w:val="20"/>
          <w:highlight w:val="none"/>
        </w:rPr>
        <w:fldChar w:fldCharType="end"/>
      </w:r>
      <w:r>
        <w:rPr>
          <w:rFonts w:hint="eastAsia" w:ascii="黑体" w:hAnsi="黑体" w:eastAsia="黑体" w:cs="黑体"/>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"_Toc18466" </w:instrText>
      </w:r>
      <w:r>
        <w:rPr>
          <w:highlight w:val="none"/>
        </w:rPr>
        <w:fldChar w:fldCharType="separate"/>
      </w:r>
      <w:r>
        <w:rPr>
          <w:rFonts w:hint="eastAsia"/>
          <w:b/>
          <w:bCs/>
          <w:sz w:val="20"/>
          <w:szCs w:val="20"/>
          <w:highlight w:val="none"/>
        </w:rPr>
        <w:t>第一章 总则</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_Toc18466 \h </w:instrText>
      </w:r>
      <w:r>
        <w:rPr>
          <w:rFonts w:hint="eastAsia"/>
          <w:b/>
          <w:bCs/>
          <w:sz w:val="20"/>
          <w:szCs w:val="20"/>
          <w:highlight w:val="none"/>
        </w:rPr>
        <w:fldChar w:fldCharType="separate"/>
      </w:r>
      <w:r>
        <w:rPr>
          <w:rFonts w:hint="eastAsia"/>
          <w:b/>
          <w:bCs/>
          <w:sz w:val="20"/>
          <w:szCs w:val="20"/>
          <w:highlight w:val="none"/>
        </w:rPr>
        <w:t>62</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"_Toc10191" </w:instrText>
      </w:r>
      <w:r>
        <w:rPr>
          <w:highlight w:val="none"/>
        </w:rPr>
        <w:fldChar w:fldCharType="separate"/>
      </w:r>
      <w:r>
        <w:rPr>
          <w:rFonts w:hint="eastAsia"/>
          <w:b/>
          <w:bCs/>
          <w:sz w:val="20"/>
          <w:szCs w:val="20"/>
          <w:highlight w:val="none"/>
        </w:rPr>
        <w:t>第二章 招标文件</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_Toc10191 \h </w:instrText>
      </w:r>
      <w:r>
        <w:rPr>
          <w:rFonts w:hint="eastAsia"/>
          <w:b/>
          <w:bCs/>
          <w:sz w:val="20"/>
          <w:szCs w:val="20"/>
          <w:highlight w:val="none"/>
        </w:rPr>
        <w:fldChar w:fldCharType="separate"/>
      </w:r>
      <w:r>
        <w:rPr>
          <w:rFonts w:hint="eastAsia"/>
          <w:b/>
          <w:bCs/>
          <w:sz w:val="20"/>
          <w:szCs w:val="20"/>
          <w:highlight w:val="none"/>
        </w:rPr>
        <w:t>64</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"_Toc15015" </w:instrText>
      </w:r>
      <w:r>
        <w:rPr>
          <w:highlight w:val="none"/>
        </w:rPr>
        <w:fldChar w:fldCharType="separate"/>
      </w:r>
      <w:r>
        <w:rPr>
          <w:rFonts w:hint="eastAsia"/>
          <w:b/>
          <w:bCs/>
          <w:sz w:val="20"/>
          <w:szCs w:val="20"/>
          <w:highlight w:val="none"/>
        </w:rPr>
        <w:t>第三章 投标文件的编制与递交</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_Toc15015 \h </w:instrText>
      </w:r>
      <w:r>
        <w:rPr>
          <w:rFonts w:hint="eastAsia"/>
          <w:b/>
          <w:bCs/>
          <w:sz w:val="20"/>
          <w:szCs w:val="20"/>
          <w:highlight w:val="none"/>
        </w:rPr>
        <w:fldChar w:fldCharType="separate"/>
      </w:r>
      <w:r>
        <w:rPr>
          <w:rFonts w:hint="eastAsia"/>
          <w:b/>
          <w:bCs/>
          <w:sz w:val="20"/>
          <w:szCs w:val="20"/>
          <w:highlight w:val="none"/>
        </w:rPr>
        <w:t>66</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"_Toc18415" </w:instrText>
      </w:r>
      <w:r>
        <w:rPr>
          <w:highlight w:val="none"/>
        </w:rPr>
        <w:fldChar w:fldCharType="separate"/>
      </w:r>
      <w:r>
        <w:rPr>
          <w:rFonts w:hint="eastAsia"/>
          <w:b/>
          <w:bCs/>
          <w:sz w:val="20"/>
          <w:szCs w:val="20"/>
          <w:highlight w:val="none"/>
        </w:rPr>
        <w:t>第四章 开标</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_Toc18415 \h </w:instrText>
      </w:r>
      <w:r>
        <w:rPr>
          <w:rFonts w:hint="eastAsia"/>
          <w:b/>
          <w:bCs/>
          <w:sz w:val="20"/>
          <w:szCs w:val="20"/>
          <w:highlight w:val="none"/>
        </w:rPr>
        <w:fldChar w:fldCharType="separate"/>
      </w:r>
      <w:r>
        <w:rPr>
          <w:rFonts w:hint="eastAsia"/>
          <w:b/>
          <w:bCs/>
          <w:sz w:val="20"/>
          <w:szCs w:val="20"/>
          <w:highlight w:val="none"/>
        </w:rPr>
        <w:t>70</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"_Toc31833" </w:instrText>
      </w:r>
      <w:r>
        <w:rPr>
          <w:highlight w:val="none"/>
        </w:rPr>
        <w:fldChar w:fldCharType="separate"/>
      </w:r>
      <w:r>
        <w:rPr>
          <w:rFonts w:hint="eastAsia"/>
          <w:b/>
          <w:bCs/>
          <w:sz w:val="20"/>
          <w:szCs w:val="20"/>
          <w:highlight w:val="none"/>
        </w:rPr>
        <w:t>第五章 评标要求</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_Toc31833 \h </w:instrText>
      </w:r>
      <w:r>
        <w:rPr>
          <w:rFonts w:hint="eastAsia"/>
          <w:b/>
          <w:bCs/>
          <w:sz w:val="20"/>
          <w:szCs w:val="20"/>
          <w:highlight w:val="none"/>
        </w:rPr>
        <w:fldChar w:fldCharType="separate"/>
      </w:r>
      <w:r>
        <w:rPr>
          <w:rFonts w:hint="eastAsia"/>
          <w:b/>
          <w:bCs/>
          <w:sz w:val="20"/>
          <w:szCs w:val="20"/>
          <w:highlight w:val="none"/>
        </w:rPr>
        <w:t>71</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"_Toc329" </w:instrText>
      </w:r>
      <w:r>
        <w:rPr>
          <w:highlight w:val="none"/>
        </w:rPr>
        <w:fldChar w:fldCharType="separate"/>
      </w:r>
      <w:r>
        <w:rPr>
          <w:rFonts w:hint="eastAsia"/>
          <w:b/>
          <w:bCs/>
          <w:sz w:val="20"/>
          <w:szCs w:val="20"/>
          <w:highlight w:val="none"/>
        </w:rPr>
        <w:t>第六章 评标程序及评标方法</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_Toc329 \h </w:instrText>
      </w:r>
      <w:r>
        <w:rPr>
          <w:rFonts w:hint="eastAsia"/>
          <w:b/>
          <w:bCs/>
          <w:sz w:val="20"/>
          <w:szCs w:val="20"/>
          <w:highlight w:val="none"/>
        </w:rPr>
        <w:fldChar w:fldCharType="separate"/>
      </w:r>
      <w:r>
        <w:rPr>
          <w:rFonts w:hint="eastAsia"/>
          <w:b/>
          <w:bCs/>
          <w:sz w:val="20"/>
          <w:szCs w:val="20"/>
          <w:highlight w:val="none"/>
        </w:rPr>
        <w:t>72</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"_Toc10018" </w:instrText>
      </w:r>
      <w:r>
        <w:rPr>
          <w:highlight w:val="none"/>
        </w:rPr>
        <w:fldChar w:fldCharType="separate"/>
      </w:r>
      <w:r>
        <w:rPr>
          <w:rFonts w:hint="eastAsia"/>
          <w:b/>
          <w:bCs/>
          <w:sz w:val="20"/>
          <w:szCs w:val="20"/>
          <w:highlight w:val="none"/>
        </w:rPr>
        <w:t>第七章 定标及公示</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_Toc10018 \h </w:instrText>
      </w:r>
      <w:r>
        <w:rPr>
          <w:rFonts w:hint="eastAsia"/>
          <w:b/>
          <w:bCs/>
          <w:sz w:val="20"/>
          <w:szCs w:val="20"/>
          <w:highlight w:val="none"/>
        </w:rPr>
        <w:fldChar w:fldCharType="separate"/>
      </w:r>
      <w:r>
        <w:rPr>
          <w:rFonts w:hint="eastAsia"/>
          <w:b/>
          <w:bCs/>
          <w:sz w:val="20"/>
          <w:szCs w:val="20"/>
          <w:highlight w:val="none"/>
        </w:rPr>
        <w:t>75</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"_Toc1549" </w:instrText>
      </w:r>
      <w:r>
        <w:rPr>
          <w:highlight w:val="none"/>
        </w:rPr>
        <w:fldChar w:fldCharType="separate"/>
      </w:r>
      <w:r>
        <w:rPr>
          <w:rFonts w:hint="eastAsia"/>
          <w:b/>
          <w:bCs/>
          <w:sz w:val="20"/>
          <w:szCs w:val="20"/>
          <w:highlight w:val="none"/>
        </w:rPr>
        <w:t>第八章 公开招标失败的后续处理</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_Toc1549 \h </w:instrText>
      </w:r>
      <w:r>
        <w:rPr>
          <w:rFonts w:hint="eastAsia"/>
          <w:b/>
          <w:bCs/>
          <w:sz w:val="20"/>
          <w:szCs w:val="20"/>
          <w:highlight w:val="none"/>
        </w:rPr>
        <w:fldChar w:fldCharType="separate"/>
      </w:r>
      <w:r>
        <w:rPr>
          <w:rFonts w:hint="eastAsia"/>
          <w:b/>
          <w:bCs/>
          <w:sz w:val="20"/>
          <w:szCs w:val="20"/>
          <w:highlight w:val="none"/>
        </w:rPr>
        <w:t>76</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"_Toc27804" </w:instrText>
      </w:r>
      <w:r>
        <w:rPr>
          <w:highlight w:val="none"/>
        </w:rPr>
        <w:fldChar w:fldCharType="separate"/>
      </w:r>
      <w:r>
        <w:rPr>
          <w:rFonts w:hint="eastAsia"/>
          <w:b/>
          <w:bCs/>
          <w:sz w:val="20"/>
          <w:szCs w:val="20"/>
          <w:highlight w:val="none"/>
        </w:rPr>
        <w:t>第九章 合同的授予与备案</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_Toc27804 \h </w:instrText>
      </w:r>
      <w:r>
        <w:rPr>
          <w:rFonts w:hint="eastAsia"/>
          <w:b/>
          <w:bCs/>
          <w:sz w:val="20"/>
          <w:szCs w:val="20"/>
          <w:highlight w:val="none"/>
        </w:rPr>
        <w:fldChar w:fldCharType="separate"/>
      </w:r>
      <w:r>
        <w:rPr>
          <w:rFonts w:hint="eastAsia"/>
          <w:b/>
          <w:bCs/>
          <w:sz w:val="20"/>
          <w:szCs w:val="20"/>
          <w:highlight w:val="none"/>
        </w:rPr>
        <w:t>79</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"_Toc4334" </w:instrText>
      </w:r>
      <w:r>
        <w:rPr>
          <w:highlight w:val="none"/>
        </w:rPr>
        <w:fldChar w:fldCharType="separate"/>
      </w:r>
      <w:r>
        <w:rPr>
          <w:rFonts w:hint="eastAsia"/>
          <w:b/>
          <w:bCs/>
          <w:sz w:val="20"/>
          <w:szCs w:val="20"/>
          <w:highlight w:val="none"/>
        </w:rPr>
        <w:t>第十章 质疑受理</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_Toc4334 \h </w:instrText>
      </w:r>
      <w:r>
        <w:rPr>
          <w:rFonts w:hint="eastAsia"/>
          <w:b/>
          <w:bCs/>
          <w:sz w:val="20"/>
          <w:szCs w:val="20"/>
          <w:highlight w:val="none"/>
        </w:rPr>
        <w:fldChar w:fldCharType="separate"/>
      </w:r>
      <w:r>
        <w:rPr>
          <w:rFonts w:hint="eastAsia"/>
          <w:b/>
          <w:bCs/>
          <w:sz w:val="20"/>
          <w:szCs w:val="20"/>
          <w:highlight w:val="none"/>
        </w:rPr>
        <w:t>79</w:t>
      </w:r>
      <w:r>
        <w:rPr>
          <w:rFonts w:hint="eastAsia"/>
          <w:b/>
          <w:bCs/>
          <w:sz w:val="20"/>
          <w:szCs w:val="20"/>
          <w:highlight w:val="none"/>
        </w:rPr>
        <w:fldChar w:fldCharType="end"/>
      </w:r>
      <w:r>
        <w:rPr>
          <w:rFonts w:hint="eastAsia"/>
          <w:b/>
          <w:bCs/>
          <w:sz w:val="20"/>
          <w:szCs w:val="20"/>
          <w:highlight w:val="none"/>
        </w:rPr>
        <w:fldChar w:fldCharType="end"/>
      </w:r>
    </w:p>
    <w:p>
      <w:pPr>
        <w:pStyle w:val="71"/>
        <w:tabs>
          <w:tab w:val="right" w:leader="dot" w:pos="8788"/>
          <w:tab w:val="clear" w:pos="8789"/>
        </w:tabs>
        <w:spacing w:line="240" w:lineRule="auto"/>
        <w:ind w:left="105"/>
        <w:rPr>
          <w:rFonts w:hint="eastAsia"/>
          <w:b/>
          <w:bCs/>
          <w:sz w:val="20"/>
          <w:szCs w:val="20"/>
          <w:highlight w:val="none"/>
        </w:rPr>
      </w:pPr>
      <w:r>
        <w:rPr>
          <w:highlight w:val="none"/>
        </w:rPr>
        <w:fldChar w:fldCharType="begin"/>
      </w:r>
      <w:r>
        <w:rPr>
          <w:highlight w:val="none"/>
        </w:rPr>
        <w:instrText xml:space="preserve"> HYPERLINK \l "_Toc13862" </w:instrText>
      </w:r>
      <w:r>
        <w:rPr>
          <w:highlight w:val="none"/>
        </w:rPr>
        <w:fldChar w:fldCharType="separate"/>
      </w:r>
      <w:r>
        <w:rPr>
          <w:rFonts w:hint="eastAsia"/>
          <w:b/>
          <w:bCs/>
          <w:sz w:val="20"/>
          <w:szCs w:val="20"/>
          <w:highlight w:val="none"/>
        </w:rPr>
        <w:t>招标代理服务取费说明</w:t>
      </w:r>
      <w:r>
        <w:rPr>
          <w:rFonts w:hint="eastAsia"/>
          <w:b/>
          <w:bCs/>
          <w:sz w:val="20"/>
          <w:szCs w:val="20"/>
          <w:highlight w:val="none"/>
        </w:rPr>
        <w:tab/>
      </w:r>
      <w:r>
        <w:rPr>
          <w:rFonts w:hint="eastAsia"/>
          <w:b/>
          <w:bCs/>
          <w:sz w:val="20"/>
          <w:szCs w:val="20"/>
          <w:highlight w:val="none"/>
        </w:rPr>
        <w:fldChar w:fldCharType="begin"/>
      </w:r>
      <w:r>
        <w:rPr>
          <w:rFonts w:hint="eastAsia"/>
          <w:b/>
          <w:bCs/>
          <w:sz w:val="20"/>
          <w:szCs w:val="20"/>
          <w:highlight w:val="none"/>
        </w:rPr>
        <w:instrText xml:space="preserve"> PAGEREF _Toc13862 \h </w:instrText>
      </w:r>
      <w:r>
        <w:rPr>
          <w:rFonts w:hint="eastAsia"/>
          <w:b/>
          <w:bCs/>
          <w:sz w:val="20"/>
          <w:szCs w:val="20"/>
          <w:highlight w:val="none"/>
        </w:rPr>
        <w:fldChar w:fldCharType="separate"/>
      </w:r>
      <w:r>
        <w:rPr>
          <w:rFonts w:hint="eastAsia"/>
          <w:b/>
          <w:bCs/>
          <w:sz w:val="20"/>
          <w:szCs w:val="20"/>
          <w:highlight w:val="none"/>
        </w:rPr>
        <w:t>82</w:t>
      </w:r>
      <w:r>
        <w:rPr>
          <w:rFonts w:hint="eastAsia"/>
          <w:b/>
          <w:bCs/>
          <w:sz w:val="20"/>
          <w:szCs w:val="20"/>
          <w:highlight w:val="none"/>
        </w:rPr>
        <w:fldChar w:fldCharType="end"/>
      </w:r>
      <w:r>
        <w:rPr>
          <w:rFonts w:hint="eastAsia"/>
          <w:b/>
          <w:bCs/>
          <w:sz w:val="20"/>
          <w:szCs w:val="20"/>
          <w:highlight w:val="none"/>
        </w:rPr>
        <w:fldChar w:fldCharType="end"/>
      </w:r>
    </w:p>
    <w:p>
      <w:pPr>
        <w:tabs>
          <w:tab w:val="right" w:leader="dot" w:pos="8820"/>
          <w:tab w:val="right" w:leader="dot" w:pos="9240"/>
          <w:tab w:val="clear" w:pos="426"/>
        </w:tabs>
        <w:spacing w:line="240" w:lineRule="auto"/>
        <w:rPr>
          <w:rFonts w:hint="eastAsia"/>
          <w:highlight w:val="none"/>
        </w:rPr>
        <w:sectPr>
          <w:footerReference r:id="rId5" w:type="even"/>
          <w:pgSz w:w="11906" w:h="16838"/>
          <w:pgMar w:top="1134" w:right="1700" w:bottom="1134" w:left="1418" w:header="851" w:footer="992" w:gutter="0"/>
          <w:pgNumType w:start="0"/>
          <w:cols w:space="720" w:num="1"/>
          <w:titlePg/>
          <w:docGrid w:linePitch="462" w:charSpace="0"/>
        </w:sectPr>
      </w:pPr>
      <w:r>
        <w:rPr>
          <w:smallCaps/>
          <w:highlight w:val="none"/>
        </w:rPr>
        <w:fldChar w:fldCharType="end"/>
      </w:r>
    </w:p>
    <w:p>
      <w:pPr>
        <w:pStyle w:val="62"/>
        <w:rPr>
          <w:highlight w:val="none"/>
        </w:rPr>
      </w:pPr>
      <w:bookmarkStart w:id="0" w:name="_Toc1594"/>
      <w:bookmarkStart w:id="1" w:name="_Toc432592808"/>
      <w:r>
        <w:rPr>
          <w:rFonts w:hint="eastAsia"/>
          <w:highlight w:val="none"/>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项目编号</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SSZX2024-374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项目名称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农兽残检测全流程全自动样品前处理系统设备采购项目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项目类型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采购方式</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货币类型</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预算金额</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￥980,000.00（人民币玖拾捌万元整）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最高限价</w:t>
            </w:r>
          </w:p>
        </w:tc>
        <w:tc>
          <w:tcPr>
            <w:tcW w:w="5968" w:type="dxa"/>
            <w:vAlign w:val="center"/>
          </w:tcPr>
          <w:p>
            <w:pPr>
              <w:tabs>
                <w:tab w:val="clear" w:pos="426"/>
              </w:tabs>
              <w:adjustRightInd/>
              <w:snapToGrid/>
              <w:spacing w:line="240" w:lineRule="auto"/>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￥980,000.00（人民币玖拾捌万元整）</w:t>
            </w:r>
          </w:p>
          <w:p>
            <w:pPr>
              <w:tabs>
                <w:tab w:val="clear" w:pos="426"/>
              </w:tabs>
              <w:adjustRightInd/>
              <w:snapToGrid/>
              <w:spacing w:line="240" w:lineRule="auto"/>
              <w:rPr>
                <w:rFonts w:hint="eastAsia" w:asciiTheme="minorEastAsia" w:hAnsiTheme="minorEastAsia" w:eastAsiaTheme="minorEastAsia"/>
                <w:bCs/>
                <w:szCs w:val="21"/>
                <w:highlight w:val="none"/>
              </w:rPr>
            </w:pPr>
            <w:r>
              <w:rPr>
                <w:rFonts w:hint="eastAsia" w:asciiTheme="minorEastAsia" w:hAnsiTheme="minorEastAsia" w:eastAsiaTheme="minorEastAsia"/>
                <w:szCs w:val="21"/>
                <w:highlight w:val="none"/>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报价要求</w:t>
            </w:r>
          </w:p>
        </w:tc>
        <w:tc>
          <w:tcPr>
            <w:tcW w:w="5968" w:type="dxa"/>
            <w:vAlign w:val="center"/>
          </w:tcPr>
          <w:p>
            <w:pPr>
              <w:tabs>
                <w:tab w:val="clear" w:pos="426"/>
              </w:tabs>
              <w:adjustRightInd/>
              <w:snapToGrid/>
              <w:spacing w:line="320" w:lineRule="exact"/>
              <w:rPr>
                <w:rFonts w:hint="eastAsia"/>
                <w:highlight w:val="none"/>
              </w:rPr>
            </w:pPr>
            <w:r>
              <w:rPr>
                <w:rFonts w:hint="eastAsia"/>
                <w:highlight w:val="none"/>
              </w:rPr>
              <w:t>1.投标报价以人民币元为计算单位。</w:t>
            </w:r>
          </w:p>
          <w:p>
            <w:pPr>
              <w:tabs>
                <w:tab w:val="clear" w:pos="426"/>
              </w:tabs>
              <w:adjustRightInd/>
              <w:snapToGrid/>
              <w:spacing w:line="320" w:lineRule="exact"/>
              <w:rPr>
                <w:rFonts w:hint="eastAsia"/>
                <w:highlight w:val="none"/>
              </w:rPr>
            </w:pPr>
            <w:r>
              <w:rPr>
                <w:rFonts w:hint="eastAsia"/>
                <w:highlight w:val="none"/>
              </w:rPr>
              <w:t>2.本项目投标上限金额为本项目预算金额（包含分项预算、总预算金额）。</w:t>
            </w:r>
          </w:p>
          <w:p>
            <w:pPr>
              <w:tabs>
                <w:tab w:val="clear" w:pos="426"/>
              </w:tabs>
              <w:adjustRightInd/>
              <w:snapToGrid/>
              <w:spacing w:line="320" w:lineRule="exact"/>
              <w:rPr>
                <w:rFonts w:hint="eastAsia"/>
                <w:highlight w:val="none"/>
              </w:rPr>
            </w:pPr>
            <w:r>
              <w:rPr>
                <w:rFonts w:hint="eastAsia"/>
                <w:highlight w:val="none"/>
              </w:rPr>
              <w:t>3投标人报价应包含合同期内所有内容所产生的费用。</w:t>
            </w:r>
          </w:p>
          <w:p>
            <w:pPr>
              <w:tabs>
                <w:tab w:val="clear" w:pos="426"/>
              </w:tabs>
              <w:adjustRightInd/>
              <w:snapToGrid/>
              <w:spacing w:line="320" w:lineRule="exact"/>
              <w:rPr>
                <w:rFonts w:hint="eastAsia"/>
                <w:highlight w:val="none"/>
              </w:rPr>
            </w:pPr>
            <w:r>
              <w:rPr>
                <w:rFonts w:hint="eastAsia"/>
                <w:highlight w:val="none"/>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评定分离</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评标方法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定标方法</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投标供应商的替代方案</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投标有效期</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90</w:t>
            </w:r>
            <w:r>
              <w:rPr>
                <w:rFonts w:asciiTheme="minorEastAsia" w:hAnsiTheme="minorEastAsia" w:eastAsiaTheme="minorEastAsia"/>
                <w:szCs w:val="21"/>
                <w:highlight w:val="none"/>
              </w:rPr>
              <w:t>日历</w:t>
            </w:r>
            <w:r>
              <w:rPr>
                <w:rFonts w:hint="eastAsia" w:asciiTheme="minorEastAsia" w:hAnsiTheme="minorEastAsia" w:eastAsiaTheme="minorEastAsia"/>
                <w:szCs w:val="21"/>
                <w:highlight w:val="none"/>
              </w:rPr>
              <w:t>天</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从投标截止之日算起</w:t>
            </w:r>
            <w:r>
              <w:rPr>
                <w:rFonts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投标保证金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履约保证金</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■提交，履约保证金为合同金额的10%，提交形式：银行保函或银行电汇。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投标文件份数</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纸质投标文件一正、四副，开标信封一份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投标文件电子档</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电子光盘一张或</w:t>
            </w:r>
            <w:r>
              <w:rPr>
                <w:rFonts w:asciiTheme="minorEastAsia" w:hAnsiTheme="minorEastAsia" w:eastAsiaTheme="minorEastAsia"/>
                <w:szCs w:val="21"/>
                <w:highlight w:val="none"/>
              </w:rPr>
              <w:t>U盘一个</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WORD及</w:t>
            </w:r>
            <w:r>
              <w:rPr>
                <w:rFonts w:hint="eastAsia" w:asciiTheme="minorEastAsia" w:hAnsiTheme="minorEastAsia" w:eastAsiaTheme="minorEastAsia"/>
                <w:szCs w:val="21"/>
                <w:highlight w:val="none"/>
              </w:rPr>
              <w:t>投标文件正本盖章后的彩色扫描件，</w:t>
            </w:r>
            <w:r>
              <w:rPr>
                <w:rFonts w:asciiTheme="minorEastAsia" w:hAnsiTheme="minorEastAsia" w:eastAsiaTheme="minorEastAsia"/>
                <w:szCs w:val="21"/>
                <w:highlight w:val="none"/>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asciiTheme="minorEastAsia" w:hAnsiTheme="minorEastAsia" w:eastAsiaTheme="minorEastAsia"/>
                <w:szCs w:val="21"/>
                <w:highlight w:val="none"/>
              </w:rPr>
              <w:t>踏勘现场</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投标供应商提出疑问截止时间</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在获取采购文件或者采购文件公告期限届满之日起</w:t>
            </w:r>
            <w:r>
              <w:rPr>
                <w:rFonts w:asciiTheme="minorEastAsia" w:hAnsiTheme="minorEastAsia" w:eastAsiaTheme="minorEastAsia"/>
                <w:szCs w:val="21"/>
                <w:highlight w:val="none"/>
              </w:rPr>
              <w:t>7个工作日内对采购文件提出质疑</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澄清或修补、答疑的期限</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截标之日（当日不计）15</w:t>
            </w:r>
            <w:r>
              <w:rPr>
                <w:rFonts w:asciiTheme="minorEastAsia" w:hAnsiTheme="minorEastAsia" w:eastAsiaTheme="minorEastAsia"/>
                <w:szCs w:val="21"/>
                <w:highlight w:val="none"/>
              </w:rPr>
              <w:t>日</w:t>
            </w:r>
            <w:r>
              <w:rPr>
                <w:rFonts w:hint="eastAsia" w:asciiTheme="minorEastAsia" w:hAnsiTheme="minorEastAsia" w:eastAsiaTheme="minorEastAsia"/>
                <w:szCs w:val="21"/>
                <w:highlight w:val="none"/>
              </w:rPr>
              <w:t>前</w:t>
            </w:r>
            <w:r>
              <w:rPr>
                <w:rFonts w:hint="eastAsia" w:asciiTheme="minorEastAsia" w:hAnsiTheme="minorEastAsia" w:eastAsiaTheme="minorEastAsia"/>
                <w:szCs w:val="21"/>
                <w:highlight w:val="none"/>
                <w:u w:val="none"/>
              </w:rPr>
              <w:t>17：30</w:t>
            </w:r>
            <w:r>
              <w:rPr>
                <w:rFonts w:hint="eastAsia" w:asciiTheme="minorEastAsia" w:hAnsiTheme="minorEastAsia" w:eastAsiaTheme="minorEastAsia"/>
                <w:szCs w:val="21"/>
                <w:highlight w:val="none"/>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招标代理</w:t>
            </w:r>
            <w:r>
              <w:rPr>
                <w:rFonts w:asciiTheme="minorEastAsia" w:hAnsiTheme="minorEastAsia" w:eastAsiaTheme="minorEastAsia"/>
                <w:szCs w:val="21"/>
                <w:highlight w:val="none"/>
              </w:rPr>
              <w:t>服务费</w:t>
            </w:r>
          </w:p>
        </w:tc>
        <w:tc>
          <w:tcPr>
            <w:tcW w:w="5968" w:type="dxa"/>
            <w:vAlign w:val="center"/>
          </w:tcPr>
          <w:p>
            <w:pPr>
              <w:tabs>
                <w:tab w:val="clear" w:pos="426"/>
              </w:tabs>
              <w:adjustRightInd/>
              <w:snapToGrid/>
              <w:spacing w:line="24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采购代理机构以中标金额为计算基数，按差额定率累进法计算，向中标供应商收取</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招标代理服务费采用转账的方式，账户信息如下：户名：深圳市深水水务咨询有限公司；账号：</w:t>
            </w:r>
            <w:r>
              <w:rPr>
                <w:rFonts w:asciiTheme="minorEastAsia" w:hAnsiTheme="minorEastAsia" w:eastAsiaTheme="minorEastAsia"/>
                <w:szCs w:val="21"/>
                <w:highlight w:val="none"/>
              </w:rPr>
              <w:t>443899991010003343618</w:t>
            </w:r>
            <w:r>
              <w:rPr>
                <w:rFonts w:hint="eastAsia" w:asciiTheme="minorEastAsia" w:hAnsiTheme="minorEastAsia" w:eastAsiaTheme="minorEastAsia"/>
                <w:szCs w:val="21"/>
                <w:highlight w:val="none"/>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hint="eastAsia" w:cs="Times New Roman"/>
          <w:kern w:val="2"/>
          <w:sz w:val="32"/>
          <w:szCs w:val="20"/>
          <w:highlight w:val="none"/>
        </w:rPr>
      </w:pPr>
    </w:p>
    <w:p>
      <w:pPr>
        <w:pStyle w:val="81"/>
        <w:tabs>
          <w:tab w:val="clear" w:pos="426"/>
        </w:tabs>
        <w:rPr>
          <w:highlight w:val="none"/>
        </w:rPr>
      </w:pPr>
      <w:r>
        <w:rPr>
          <w:highlight w:val="none"/>
        </w:rPr>
        <w:br w:type="page"/>
      </w:r>
      <w:bookmarkStart w:id="2" w:name="_Toc16410"/>
      <w:r>
        <w:rPr>
          <w:rFonts w:hint="eastAsia"/>
          <w:highlight w:val="none"/>
        </w:rPr>
        <w:t>招标文件第一册（专用部分）</w:t>
      </w:r>
      <w:bookmarkEnd w:id="2"/>
    </w:p>
    <w:p>
      <w:pPr>
        <w:pStyle w:val="62"/>
        <w:rPr>
          <w:highlight w:val="none"/>
        </w:rPr>
      </w:pPr>
      <w:bookmarkStart w:id="3" w:name="_Toc265483798"/>
      <w:bookmarkStart w:id="4" w:name="_Toc432592813"/>
      <w:bookmarkStart w:id="5" w:name="_Toc20258"/>
      <w:r>
        <w:rPr>
          <w:rFonts w:hint="eastAsia"/>
          <w:highlight w:val="none"/>
        </w:rPr>
        <w:t>第一章</w:t>
      </w:r>
      <w:bookmarkEnd w:id="3"/>
      <w:bookmarkEnd w:id="4"/>
      <w:r>
        <w:rPr>
          <w:rFonts w:hint="eastAsia"/>
          <w:highlight w:val="none"/>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adjustRightInd/>
        <w:snapToGrid/>
        <w:spacing w:line="240" w:lineRule="auto"/>
        <w:ind w:firstLine="420" w:firstLineChars="200"/>
        <w:rPr>
          <w:rFonts w:hint="eastAsia" w:cs="Times New Roman"/>
          <w:color w:val="auto"/>
          <w:kern w:val="2"/>
          <w:szCs w:val="21"/>
          <w:highlight w:val="none"/>
        </w:rPr>
      </w:pPr>
      <w:bookmarkStart w:id="6" w:name="_Hlk62652657"/>
      <w:r>
        <w:rPr>
          <w:rFonts w:hint="eastAsia" w:cs="Times New Roman"/>
          <w:color w:val="auto"/>
          <w:kern w:val="2"/>
          <w:szCs w:val="21"/>
          <w:highlight w:val="none"/>
        </w:rPr>
        <w:t>项目概况</w:t>
      </w:r>
    </w:p>
    <w:p>
      <w:pPr>
        <w:widowControl w:val="0"/>
        <w:pBdr>
          <w:top w:val="single" w:color="auto" w:sz="4" w:space="1"/>
          <w:left w:val="single" w:color="auto" w:sz="4" w:space="4"/>
          <w:bottom w:val="single" w:color="auto" w:sz="4" w:space="1"/>
          <w:right w:val="single" w:color="auto" w:sz="4" w:space="4"/>
        </w:pBdr>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农兽残检测全流程全自动样品前处理系统设备采购项目的潜在投标人应在深圳市罗湖区清水河街道清水河社区清水河一路112号罗湖投资控股大厦裙楼401获取招标文件，并于2024年11月15日09点30分</w:t>
      </w:r>
      <w:r>
        <w:rPr>
          <w:rFonts w:hint="eastAsia" w:cs="Times New Roman"/>
          <w:bCs/>
          <w:color w:val="auto"/>
          <w:kern w:val="2"/>
          <w:szCs w:val="21"/>
          <w:highlight w:val="none"/>
        </w:rPr>
        <w:t>（北京时间）前递交投标</w:t>
      </w:r>
      <w:r>
        <w:rPr>
          <w:rFonts w:cs="Times New Roman"/>
          <w:bCs/>
          <w:color w:val="auto"/>
          <w:kern w:val="2"/>
          <w:szCs w:val="21"/>
          <w:highlight w:val="none"/>
        </w:rPr>
        <w:t>文件</w:t>
      </w:r>
      <w:r>
        <w:rPr>
          <w:rFonts w:hint="eastAsia" w:cs="Times New Roman"/>
          <w:color w:val="auto"/>
          <w:kern w:val="2"/>
          <w:szCs w:val="21"/>
          <w:highlight w:val="none"/>
        </w:rPr>
        <w:t>。</w:t>
      </w:r>
    </w:p>
    <w:p>
      <w:pPr>
        <w:widowControl w:val="0"/>
        <w:shd w:val="clear" w:color="auto" w:fill="auto"/>
        <w:adjustRightInd/>
        <w:snapToGrid/>
        <w:spacing w:line="240" w:lineRule="auto"/>
        <w:rPr>
          <w:rFonts w:hint="eastAsia" w:cs="Times New Roman"/>
          <w:color w:val="auto"/>
          <w:kern w:val="2"/>
          <w:szCs w:val="21"/>
          <w:highlight w:val="none"/>
        </w:rPr>
      </w:pPr>
    </w:p>
    <w:p>
      <w:pPr>
        <w:spacing w:line="240" w:lineRule="auto"/>
        <w:rPr>
          <w:rFonts w:hint="eastAsia"/>
          <w:b/>
          <w:color w:val="auto"/>
          <w:kern w:val="2"/>
          <w:szCs w:val="21"/>
          <w:highlight w:val="none"/>
        </w:rPr>
      </w:pPr>
      <w:bookmarkStart w:id="7" w:name="_Toc28359002"/>
      <w:bookmarkStart w:id="8" w:name="_Toc35393621"/>
      <w:bookmarkStart w:id="9" w:name="_Toc35393790"/>
      <w:bookmarkStart w:id="10" w:name="_Toc28359079"/>
      <w:bookmarkStart w:id="11" w:name="_Hlk24379207"/>
      <w:r>
        <w:rPr>
          <w:rFonts w:hint="eastAsia"/>
          <w:b/>
          <w:color w:val="auto"/>
          <w:kern w:val="2"/>
          <w:szCs w:val="21"/>
          <w:highlight w:val="none"/>
        </w:rPr>
        <w:t>一、项目基本情况</w:t>
      </w:r>
      <w:bookmarkEnd w:id="7"/>
      <w:bookmarkEnd w:id="8"/>
      <w:bookmarkEnd w:id="9"/>
      <w:bookmarkEnd w:id="10"/>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项目编号：SSZX2024-374</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项目名称：农兽残检测全流程全自动样品前处理系统设备采购项目</w:t>
      </w:r>
    </w:p>
    <w:bookmarkEnd w:id="11"/>
    <w:p>
      <w:pPr>
        <w:widowControl w:val="0"/>
        <w:shd w:val="clear" w:color="auto" w:fill="auto"/>
        <w:adjustRightInd/>
        <w:snapToGrid/>
        <w:spacing w:line="240" w:lineRule="auto"/>
        <w:ind w:firstLine="420" w:firstLineChars="200"/>
        <w:rPr>
          <w:rFonts w:hint="eastAsia"/>
          <w:color w:val="auto"/>
          <w:szCs w:val="21"/>
          <w:highlight w:val="none"/>
        </w:rPr>
      </w:pPr>
      <w:r>
        <w:rPr>
          <w:rFonts w:hint="eastAsia" w:cs="Times New Roman"/>
          <w:color w:val="auto"/>
          <w:kern w:val="2"/>
          <w:szCs w:val="21"/>
          <w:highlight w:val="none"/>
        </w:rPr>
        <w:t>预算金额：980,000.00元</w:t>
      </w:r>
      <w:r>
        <w:rPr>
          <w:rFonts w:hint="eastAsia"/>
          <w:color w:val="auto"/>
          <w:szCs w:val="21"/>
          <w:highlight w:val="none"/>
        </w:rPr>
        <w:t>（人民币）</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最高限价：980,000.00元</w:t>
      </w:r>
      <w:r>
        <w:rPr>
          <w:rFonts w:hint="eastAsia"/>
          <w:color w:val="auto"/>
          <w:szCs w:val="21"/>
          <w:highlight w:val="none"/>
        </w:rPr>
        <w:t>（人民币）</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采购需求：</w:t>
      </w:r>
    </w:p>
    <w:tbl>
      <w:tblPr>
        <w:tblStyle w:val="85"/>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794"/>
        <w:gridCol w:w="849"/>
        <w:gridCol w:w="853"/>
        <w:gridCol w:w="2834"/>
        <w:gridCol w:w="13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auto"/>
                <w:szCs w:val="21"/>
                <w:highlight w:val="none"/>
              </w:rPr>
            </w:pPr>
            <w:r>
              <w:rPr>
                <w:rFonts w:hint="eastAsia"/>
                <w:color w:val="auto"/>
                <w:szCs w:val="21"/>
                <w:highlight w:val="none"/>
              </w:rPr>
              <w:t>标的名称</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auto"/>
                <w:szCs w:val="21"/>
                <w:highlight w:val="none"/>
              </w:rPr>
            </w:pPr>
            <w:r>
              <w:rPr>
                <w:rFonts w:hint="eastAsia"/>
                <w:color w:val="auto"/>
                <w:szCs w:val="21"/>
                <w:highlight w:val="none"/>
              </w:rPr>
              <w:t>数量</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auto"/>
                <w:szCs w:val="21"/>
                <w:highlight w:val="none"/>
              </w:rPr>
            </w:pPr>
            <w:r>
              <w:rPr>
                <w:rFonts w:hint="eastAsia"/>
                <w:color w:val="auto"/>
                <w:szCs w:val="21"/>
                <w:highlight w:val="none"/>
              </w:rPr>
              <w:t>单位</w:t>
            </w:r>
          </w:p>
        </w:tc>
        <w:tc>
          <w:tcPr>
            <w:tcW w:w="146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auto"/>
                <w:szCs w:val="21"/>
                <w:highlight w:val="none"/>
              </w:rPr>
            </w:pPr>
            <w:r>
              <w:rPr>
                <w:color w:val="auto"/>
                <w:szCs w:val="21"/>
                <w:highlight w:val="none"/>
              </w:rPr>
              <w:t>简要技术需求</w:t>
            </w:r>
          </w:p>
        </w:tc>
        <w:tc>
          <w:tcPr>
            <w:tcW w:w="69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96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auto"/>
                <w:szCs w:val="21"/>
                <w:highlight w:val="none"/>
              </w:rPr>
            </w:pPr>
            <w:r>
              <w:rPr>
                <w:rFonts w:hint="eastAsia"/>
                <w:color w:val="auto"/>
                <w:szCs w:val="21"/>
                <w:highlight w:val="none"/>
              </w:rPr>
              <w:t>农兽残检测全流程全自动样品前处理系统</w:t>
            </w:r>
          </w:p>
        </w:tc>
        <w:tc>
          <w:tcPr>
            <w:tcW w:w="4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auto"/>
                <w:szCs w:val="21"/>
                <w:highlight w:val="none"/>
              </w:rPr>
            </w:pPr>
            <w:r>
              <w:rPr>
                <w:rFonts w:hint="eastAsia"/>
                <w:color w:val="auto"/>
                <w:szCs w:val="21"/>
                <w:highlight w:val="none"/>
              </w:rPr>
              <w:t>1</w:t>
            </w:r>
          </w:p>
        </w:tc>
        <w:tc>
          <w:tcPr>
            <w:tcW w:w="44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olor w:val="auto"/>
                <w:szCs w:val="21"/>
                <w:highlight w:val="none"/>
              </w:rPr>
            </w:pPr>
            <w:r>
              <w:rPr>
                <w:rFonts w:hint="eastAsia"/>
                <w:color w:val="auto"/>
                <w:szCs w:val="21"/>
                <w:highlight w:val="none"/>
              </w:rPr>
              <w:t>台</w:t>
            </w:r>
          </w:p>
        </w:tc>
        <w:tc>
          <w:tcPr>
            <w:tcW w:w="1466" w:type="pct"/>
            <w:tcBorders>
              <w:top w:val="single" w:color="auto" w:sz="4" w:space="0"/>
              <w:left w:val="single" w:color="auto" w:sz="4" w:space="0"/>
              <w:bottom w:val="single" w:color="auto" w:sz="4" w:space="0"/>
              <w:right w:val="single" w:color="auto" w:sz="4" w:space="0"/>
            </w:tcBorders>
            <w:vAlign w:val="center"/>
          </w:tcPr>
          <w:p>
            <w:pPr>
              <w:pStyle w:val="425"/>
              <w:rPr>
                <w:color w:val="auto"/>
                <w:highlight w:val="none"/>
              </w:rPr>
            </w:pPr>
            <w:r>
              <w:rPr>
                <w:rFonts w:hint="eastAsia" w:cs="Times New Roman"/>
                <w:color w:val="auto"/>
                <w:kern w:val="2"/>
                <w:highlight w:val="none"/>
              </w:rPr>
              <w:t>农兽残检测全流程全自动样品前处理系统设备一台。</w:t>
            </w:r>
            <w:r>
              <w:rPr>
                <w:rFonts w:hint="eastAsia"/>
                <w:color w:val="auto"/>
                <w:highlight w:val="none"/>
              </w:rPr>
              <w:t>详见招标文件项目需求书。</w:t>
            </w:r>
          </w:p>
        </w:tc>
        <w:tc>
          <w:tcPr>
            <w:tcW w:w="691" w:type="pct"/>
            <w:tcBorders>
              <w:top w:val="single" w:color="auto" w:sz="4" w:space="0"/>
              <w:left w:val="single" w:color="auto" w:sz="4" w:space="0"/>
              <w:bottom w:val="single" w:color="auto" w:sz="4" w:space="0"/>
              <w:right w:val="single" w:color="auto" w:sz="4" w:space="0"/>
            </w:tcBorders>
            <w:vAlign w:val="center"/>
          </w:tcPr>
          <w:p>
            <w:pPr>
              <w:pStyle w:val="425"/>
              <w:rPr>
                <w:color w:val="auto"/>
                <w:highlight w:val="none"/>
              </w:rPr>
            </w:pPr>
            <w:r>
              <w:rPr>
                <w:rFonts w:hint="eastAsia"/>
                <w:color w:val="auto"/>
                <w:highlight w:val="none"/>
              </w:rPr>
              <w:t>拒绝进口</w:t>
            </w:r>
          </w:p>
        </w:tc>
      </w:tr>
    </w:tbl>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合同履行期限：合同签订后90日内完成交货。</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本项目（不接受）联合体投标。</w:t>
      </w:r>
      <w:bookmarkStart w:id="12" w:name="_Toc35393791"/>
      <w:bookmarkStart w:id="13" w:name="_Toc28359003"/>
      <w:bookmarkStart w:id="14" w:name="_Toc35393622"/>
      <w:bookmarkStart w:id="15" w:name="_Toc28359080"/>
    </w:p>
    <w:p>
      <w:pPr>
        <w:spacing w:line="240" w:lineRule="auto"/>
        <w:rPr>
          <w:rFonts w:hint="eastAsia"/>
          <w:b/>
          <w:color w:val="auto"/>
          <w:kern w:val="2"/>
          <w:szCs w:val="21"/>
          <w:highlight w:val="none"/>
        </w:rPr>
      </w:pPr>
      <w:r>
        <w:rPr>
          <w:rFonts w:hint="eastAsia"/>
          <w:b/>
          <w:color w:val="auto"/>
          <w:kern w:val="2"/>
          <w:szCs w:val="21"/>
          <w:highlight w:val="none"/>
        </w:rPr>
        <w:t>二、申请人的资格要求</w:t>
      </w:r>
      <w:bookmarkEnd w:id="12"/>
      <w:bookmarkEnd w:id="13"/>
      <w:bookmarkEnd w:id="14"/>
      <w:bookmarkEnd w:id="15"/>
      <w:r>
        <w:rPr>
          <w:rFonts w:hint="eastAsia"/>
          <w:b/>
          <w:color w:val="auto"/>
          <w:kern w:val="2"/>
          <w:szCs w:val="21"/>
          <w:highlight w:val="none"/>
        </w:rPr>
        <w:t>：</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bookmarkStart w:id="16" w:name="_Toc35393623"/>
      <w:bookmarkStart w:id="17" w:name="_Toc35393792"/>
      <w:bookmarkStart w:id="18" w:name="_Toc28359081"/>
      <w:bookmarkStart w:id="19" w:name="_Toc28359004"/>
      <w:r>
        <w:rPr>
          <w:rFonts w:hint="eastAsia" w:hAnsi="Times New Roman" w:cs="Times New Roman"/>
          <w:color w:val="auto"/>
          <w:kern w:val="2"/>
          <w:szCs w:val="21"/>
          <w:highlight w:val="none"/>
        </w:rPr>
        <w:t>1.满足《中华人民共和国政府采购法》第二十二条规定（由供应商在《投标人资格声明函》中作出声明）。</w:t>
      </w:r>
      <w:bookmarkStart w:id="184" w:name="_GoBack"/>
      <w:bookmarkEnd w:id="184"/>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2.落实政府采购政策需满足的资格要求：</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 xml:space="preserve">本项目不属于专门面向中小企业采购的项目。 </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3.本项目的特定资格要求：</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（2）本项目不</w:t>
      </w:r>
      <w:r>
        <w:rPr>
          <w:rFonts w:hAnsi="Times New Roman" w:cs="Times New Roman"/>
          <w:color w:val="auto"/>
          <w:kern w:val="2"/>
          <w:szCs w:val="21"/>
          <w:highlight w:val="none"/>
        </w:rPr>
        <w:t>接受投标人选用进口产品参与投标。</w:t>
      </w:r>
      <w:r>
        <w:rPr>
          <w:rFonts w:hint="eastAsia" w:hAnsi="Times New Roman" w:cs="Times New Roman"/>
          <w:color w:val="auto"/>
          <w:kern w:val="2"/>
          <w:szCs w:val="21"/>
          <w:highlight w:val="none"/>
        </w:rPr>
        <w:t>（进口产品是指通过中国海关报关验收进入中国境内且产自境外的产品）。</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w:t>
      </w:r>
      <w:r>
        <w:rPr>
          <w:rFonts w:hAnsi="Times New Roman" w:cs="Times New Roman"/>
          <w:color w:val="auto"/>
          <w:kern w:val="2"/>
          <w:szCs w:val="21"/>
          <w:highlight w:val="none"/>
        </w:rPr>
        <w:t>3</w:t>
      </w:r>
      <w:r>
        <w:rPr>
          <w:rFonts w:hint="eastAsia" w:hAnsi="Times New Roman" w:cs="Times New Roman"/>
          <w:color w:val="auto"/>
          <w:kern w:val="2"/>
          <w:szCs w:val="21"/>
          <w:highlight w:val="none"/>
        </w:rPr>
        <w:t>）</w:t>
      </w:r>
      <w:r>
        <w:rPr>
          <w:rFonts w:hAnsi="Times New Roman" w:cs="Times New Roman"/>
          <w:color w:val="auto"/>
          <w:kern w:val="2"/>
          <w:szCs w:val="21"/>
          <w:highlight w:val="none"/>
        </w:rPr>
        <w:t>根据财库〔2016〕125号文的有关规定，投标人需未被列入失信被执行人、重大税收违法案件当事人名单、政府采购严重违法失信行为记录名单（提供书面《</w:t>
      </w:r>
      <w:r>
        <w:rPr>
          <w:rFonts w:hint="eastAsia" w:hAnsi="Times New Roman" w:cs="Times New Roman"/>
          <w:color w:val="auto"/>
          <w:kern w:val="2"/>
          <w:szCs w:val="21"/>
          <w:highlight w:val="none"/>
        </w:rPr>
        <w:t>投标人资格声明函</w:t>
      </w:r>
      <w:r>
        <w:rPr>
          <w:rFonts w:hAnsi="Times New Roman" w:cs="Times New Roman"/>
          <w:color w:val="auto"/>
          <w:kern w:val="2"/>
          <w:szCs w:val="21"/>
          <w:highlight w:val="none"/>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（4）投标人参与本项目投标前三年内，在经营活动中没有重大违法记录（提供《投标人资格声明函》，并加盖投标人公章）。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（5）投标人参与本项目投标近三年内，在经营活动中没有发生重大安全和质量事故（提供《投标人资格声明函》，并加盖投标人公章）。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（6）投标人参与本项目政府采购活动时不存在被有关部门禁止参与政府采购活动且在有效期内的情况（提供《投标人资格声明函》，并加盖投标人公章）。</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adjustRightInd/>
        <w:snapToGrid/>
        <w:spacing w:line="240" w:lineRule="auto"/>
        <w:ind w:firstLine="420" w:firstLineChars="200"/>
        <w:rPr>
          <w:rFonts w:hint="eastAsia" w:hAnsi="Times New Roman" w:cs="Times New Roman" w:eastAsiaTheme="minorEastAsia"/>
          <w:color w:val="auto"/>
          <w:kern w:val="2"/>
          <w:szCs w:val="21"/>
          <w:highlight w:val="none"/>
          <w:lang w:eastAsia="zh-CN"/>
        </w:rPr>
      </w:pPr>
      <w:r>
        <w:rPr>
          <w:rFonts w:hint="eastAsia" w:hAnsi="Times New Roman" w:cs="Times New Roman"/>
          <w:color w:val="auto"/>
          <w:kern w:val="2"/>
          <w:szCs w:val="21"/>
          <w:highlight w:val="none"/>
        </w:rPr>
        <w:t>（9）参与本项目政府采购活动不存在与其他采购参加人串通投标、隐瞒真实情况、提供虚假资料等违法违规情形（提供《投标人资格声明函》，并加盖投标人公章）</w:t>
      </w:r>
      <w:r>
        <w:rPr>
          <w:rFonts w:hint="eastAsia" w:hAnsi="Times New Roman" w:cs="Times New Roman"/>
          <w:color w:val="auto"/>
          <w:kern w:val="2"/>
          <w:szCs w:val="21"/>
          <w:highlight w:val="none"/>
          <w:lang w:eastAsia="zh-CN"/>
        </w:rPr>
        <w:t>。</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（10）本项目不接受联合体形式进行投标，不允许转包及分包。</w:t>
      </w:r>
    </w:p>
    <w:p>
      <w:pPr>
        <w:spacing w:line="240" w:lineRule="auto"/>
        <w:rPr>
          <w:rFonts w:hint="eastAsia"/>
          <w:b/>
          <w:color w:val="auto"/>
          <w:kern w:val="2"/>
          <w:szCs w:val="21"/>
          <w:highlight w:val="none"/>
        </w:rPr>
      </w:pPr>
      <w:r>
        <w:rPr>
          <w:rFonts w:hint="eastAsia"/>
          <w:b/>
          <w:color w:val="auto"/>
          <w:kern w:val="2"/>
          <w:szCs w:val="21"/>
          <w:highlight w:val="none"/>
        </w:rPr>
        <w:t>三、获取招标文件</w:t>
      </w:r>
      <w:bookmarkEnd w:id="16"/>
      <w:bookmarkEnd w:id="17"/>
      <w:bookmarkEnd w:id="18"/>
      <w:bookmarkEnd w:id="19"/>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时间：</w:t>
      </w:r>
      <w:r>
        <w:rPr>
          <w:rFonts w:hAnsi="Times New Roman" w:cs="Times New Roman"/>
          <w:color w:val="auto"/>
          <w:kern w:val="2"/>
          <w:szCs w:val="21"/>
          <w:highlight w:val="none"/>
        </w:rPr>
        <w:t>2024年</w:t>
      </w:r>
      <w:r>
        <w:rPr>
          <w:rFonts w:hint="eastAsia" w:hAnsi="Times New Roman" w:cs="Times New Roman"/>
          <w:color w:val="auto"/>
          <w:kern w:val="2"/>
          <w:szCs w:val="21"/>
          <w:highlight w:val="none"/>
          <w:lang w:val="en-US" w:eastAsia="zh-CN"/>
        </w:rPr>
        <w:t>10</w:t>
      </w:r>
      <w:r>
        <w:rPr>
          <w:rFonts w:hAnsi="Times New Roman" w:cs="Times New Roman"/>
          <w:color w:val="auto"/>
          <w:kern w:val="2"/>
          <w:szCs w:val="21"/>
          <w:highlight w:val="none"/>
        </w:rPr>
        <w:t>月</w:t>
      </w:r>
      <w:r>
        <w:rPr>
          <w:rFonts w:hint="eastAsia" w:hAnsi="Times New Roman" w:cs="Times New Roman"/>
          <w:color w:val="auto"/>
          <w:kern w:val="2"/>
          <w:szCs w:val="21"/>
          <w:highlight w:val="none"/>
          <w:lang w:val="en-US" w:eastAsia="zh-CN"/>
        </w:rPr>
        <w:t>23</w:t>
      </w:r>
      <w:r>
        <w:rPr>
          <w:rFonts w:hAnsi="Times New Roman" w:cs="Times New Roman"/>
          <w:color w:val="auto"/>
          <w:kern w:val="2"/>
          <w:szCs w:val="21"/>
          <w:highlight w:val="none"/>
        </w:rPr>
        <w:t>日至2024年</w:t>
      </w:r>
      <w:r>
        <w:rPr>
          <w:rFonts w:hint="eastAsia" w:hAnsi="Times New Roman" w:cs="Times New Roman"/>
          <w:color w:val="auto"/>
          <w:kern w:val="2"/>
          <w:szCs w:val="21"/>
          <w:highlight w:val="none"/>
          <w:lang w:val="en-US" w:eastAsia="zh-CN"/>
        </w:rPr>
        <w:t>11</w:t>
      </w:r>
      <w:r>
        <w:rPr>
          <w:rFonts w:hAnsi="Times New Roman" w:cs="Times New Roman"/>
          <w:color w:val="auto"/>
          <w:kern w:val="2"/>
          <w:szCs w:val="21"/>
          <w:highlight w:val="none"/>
        </w:rPr>
        <w:t>月</w:t>
      </w:r>
      <w:r>
        <w:rPr>
          <w:rFonts w:hint="eastAsia" w:hAnsi="Times New Roman" w:cs="Times New Roman"/>
          <w:color w:val="auto"/>
          <w:kern w:val="2"/>
          <w:szCs w:val="21"/>
          <w:highlight w:val="none"/>
          <w:lang w:val="en-US" w:eastAsia="zh-CN"/>
        </w:rPr>
        <w:t>5</w:t>
      </w:r>
      <w:r>
        <w:rPr>
          <w:rFonts w:hAnsi="Times New Roman" w:cs="Times New Roman"/>
          <w:color w:val="auto"/>
          <w:kern w:val="2"/>
          <w:szCs w:val="21"/>
          <w:highlight w:val="none"/>
        </w:rPr>
        <w:t>日</w:t>
      </w:r>
      <w:r>
        <w:rPr>
          <w:rFonts w:hint="eastAsia" w:hAnsi="Times New Roman" w:cs="Times New Roman"/>
          <w:color w:val="auto"/>
          <w:kern w:val="2"/>
          <w:szCs w:val="21"/>
          <w:highlight w:val="none"/>
        </w:rPr>
        <w:t>，每天上午9:00至12:00，下午14:00至18:00（北京时间，</w:t>
      </w:r>
      <w:r>
        <w:rPr>
          <w:rFonts w:hAnsi="Times New Roman" w:cs="Times New Roman"/>
          <w:color w:val="auto"/>
          <w:kern w:val="2"/>
          <w:szCs w:val="21"/>
          <w:highlight w:val="none"/>
        </w:rPr>
        <w:t>法定节假日</w:t>
      </w:r>
      <w:r>
        <w:rPr>
          <w:rFonts w:hint="eastAsia" w:hAnsi="Times New Roman" w:cs="Times New Roman"/>
          <w:color w:val="auto"/>
          <w:kern w:val="2"/>
          <w:szCs w:val="21"/>
          <w:highlight w:val="none"/>
        </w:rPr>
        <w:t>除外）</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方式：现场购买。</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售价：500元/份，本公告包含的招标文件售价总和</w:t>
      </w:r>
    </w:p>
    <w:p>
      <w:pPr>
        <w:spacing w:line="240" w:lineRule="auto"/>
        <w:rPr>
          <w:rFonts w:hint="eastAsia"/>
          <w:b/>
          <w:color w:val="auto"/>
          <w:kern w:val="2"/>
          <w:szCs w:val="21"/>
          <w:highlight w:val="none"/>
        </w:rPr>
      </w:pPr>
      <w:bookmarkStart w:id="20" w:name="_Toc28359082"/>
      <w:bookmarkStart w:id="21" w:name="_Toc28359005"/>
      <w:bookmarkStart w:id="22" w:name="_Toc35393793"/>
      <w:bookmarkStart w:id="23" w:name="_Toc35393624"/>
      <w:r>
        <w:rPr>
          <w:rFonts w:hint="eastAsia"/>
          <w:b/>
          <w:color w:val="auto"/>
          <w:kern w:val="2"/>
          <w:szCs w:val="21"/>
          <w:highlight w:val="none"/>
        </w:rPr>
        <w:t>四、提交投标文件</w:t>
      </w:r>
      <w:bookmarkEnd w:id="20"/>
      <w:bookmarkEnd w:id="21"/>
      <w:r>
        <w:rPr>
          <w:rFonts w:hint="eastAsia"/>
          <w:b/>
          <w:color w:val="auto"/>
          <w:kern w:val="2"/>
          <w:szCs w:val="21"/>
          <w:highlight w:val="none"/>
        </w:rPr>
        <w:t>截止时间、开标时间和地点</w:t>
      </w:r>
      <w:bookmarkEnd w:id="22"/>
      <w:bookmarkEnd w:id="23"/>
    </w:p>
    <w:p>
      <w:pPr>
        <w:widowControl w:val="0"/>
        <w:shd w:val="clear" w:color="auto" w:fill="auto"/>
        <w:adjustRightInd/>
        <w:snapToGrid/>
        <w:spacing w:line="240" w:lineRule="auto"/>
        <w:ind w:firstLine="420" w:firstLineChars="200"/>
        <w:rPr>
          <w:rFonts w:hint="eastAsia" w:cs="Times New Roman"/>
          <w:bCs/>
          <w:color w:val="auto"/>
          <w:kern w:val="2"/>
          <w:szCs w:val="21"/>
          <w:highlight w:val="none"/>
        </w:rPr>
      </w:pPr>
      <w:r>
        <w:rPr>
          <w:rFonts w:hint="eastAsia" w:cs="Times New Roman"/>
          <w:bCs/>
          <w:color w:val="auto"/>
          <w:kern w:val="2"/>
          <w:szCs w:val="21"/>
          <w:highlight w:val="none"/>
        </w:rPr>
        <w:t>提交投标文件截止时间：2024年11月15日09点30分（北京时间）</w:t>
      </w:r>
    </w:p>
    <w:p>
      <w:pPr>
        <w:widowControl w:val="0"/>
        <w:shd w:val="clear" w:color="auto" w:fill="auto"/>
        <w:adjustRightInd/>
        <w:snapToGrid/>
        <w:spacing w:line="240" w:lineRule="auto"/>
        <w:ind w:firstLine="420" w:firstLineChars="200"/>
        <w:rPr>
          <w:rFonts w:hAnsi="Times New Roman" w:cs="Times New Roman"/>
          <w:color w:val="auto"/>
          <w:kern w:val="2"/>
          <w:szCs w:val="21"/>
          <w:highlight w:val="none"/>
        </w:rPr>
      </w:pPr>
      <w:r>
        <w:rPr>
          <w:rFonts w:hint="eastAsia" w:hAnsi="Times New Roman" w:cs="Times New Roman"/>
          <w:color w:val="auto"/>
          <w:kern w:val="2"/>
          <w:szCs w:val="21"/>
          <w:highlight w:val="none"/>
        </w:rPr>
        <w:t>开标时间：2024年11月15日09点30分（北京时间）</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地点：深圳市罗湖区清水河街道清水河社区清水河一路112号罗湖投资控股大厦裙楼401</w:t>
      </w:r>
    </w:p>
    <w:p>
      <w:pPr>
        <w:spacing w:line="240" w:lineRule="auto"/>
        <w:rPr>
          <w:rFonts w:hint="eastAsia"/>
          <w:b/>
          <w:color w:val="auto"/>
          <w:kern w:val="2"/>
          <w:szCs w:val="21"/>
          <w:highlight w:val="none"/>
        </w:rPr>
      </w:pPr>
      <w:bookmarkStart w:id="24" w:name="_Toc35393625"/>
      <w:bookmarkStart w:id="25" w:name="_Toc35393794"/>
      <w:bookmarkStart w:id="26" w:name="_Toc28359007"/>
      <w:bookmarkStart w:id="27" w:name="_Toc28359084"/>
      <w:r>
        <w:rPr>
          <w:rFonts w:hint="eastAsia"/>
          <w:b/>
          <w:color w:val="auto"/>
          <w:kern w:val="2"/>
          <w:szCs w:val="21"/>
          <w:highlight w:val="none"/>
        </w:rPr>
        <w:t>五、公告期限</w:t>
      </w:r>
      <w:bookmarkEnd w:id="24"/>
      <w:bookmarkEnd w:id="25"/>
      <w:bookmarkEnd w:id="26"/>
      <w:bookmarkEnd w:id="27"/>
    </w:p>
    <w:p>
      <w:pPr>
        <w:widowControl w:val="0"/>
        <w:shd w:val="clear" w:color="auto" w:fill="auto"/>
        <w:adjustRightInd/>
        <w:snapToGrid/>
        <w:spacing w:line="240" w:lineRule="auto"/>
        <w:ind w:firstLine="420" w:firstLineChars="200"/>
        <w:rPr>
          <w:rFonts w:hint="eastAsia"/>
          <w:color w:val="auto"/>
          <w:szCs w:val="21"/>
          <w:highlight w:val="none"/>
        </w:rPr>
      </w:pPr>
      <w:r>
        <w:rPr>
          <w:rFonts w:hint="eastAsia"/>
          <w:color w:val="auto"/>
          <w:szCs w:val="21"/>
          <w:highlight w:val="none"/>
        </w:rPr>
        <w:t>自本公告发布之日起5个工作日。</w:t>
      </w:r>
      <w:bookmarkStart w:id="28" w:name="_Toc35393626"/>
      <w:bookmarkStart w:id="29" w:name="_Toc35393795"/>
    </w:p>
    <w:p>
      <w:pPr>
        <w:spacing w:line="240" w:lineRule="auto"/>
        <w:rPr>
          <w:rFonts w:hint="eastAsia"/>
          <w:b/>
          <w:color w:val="auto"/>
          <w:kern w:val="2"/>
          <w:szCs w:val="21"/>
          <w:highlight w:val="none"/>
        </w:rPr>
      </w:pPr>
      <w:r>
        <w:rPr>
          <w:rFonts w:hint="eastAsia"/>
          <w:b/>
          <w:color w:val="auto"/>
          <w:kern w:val="2"/>
          <w:szCs w:val="21"/>
          <w:highlight w:val="none"/>
        </w:rPr>
        <w:t>六、</w:t>
      </w:r>
      <w:bookmarkStart w:id="30" w:name="_Hlk155780018"/>
      <w:r>
        <w:rPr>
          <w:rFonts w:hint="eastAsia"/>
          <w:b/>
          <w:color w:val="auto"/>
          <w:kern w:val="2"/>
          <w:szCs w:val="21"/>
          <w:highlight w:val="none"/>
        </w:rPr>
        <w:t>其他补充事宜</w:t>
      </w:r>
      <w:bookmarkEnd w:id="28"/>
      <w:bookmarkEnd w:id="29"/>
      <w:bookmarkEnd w:id="30"/>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1</w:t>
      </w:r>
      <w:r>
        <w:rPr>
          <w:rFonts w:cs="Times New Roman"/>
          <w:color w:val="auto"/>
          <w:kern w:val="2"/>
          <w:szCs w:val="21"/>
          <w:highlight w:val="none"/>
        </w:rPr>
        <w:t>.</w:t>
      </w:r>
      <w:r>
        <w:rPr>
          <w:rFonts w:hint="eastAsia" w:cs="Times New Roman"/>
          <w:color w:val="auto"/>
          <w:kern w:val="2"/>
          <w:szCs w:val="21"/>
          <w:highlight w:val="none"/>
        </w:rPr>
        <w:t>答疑事项：</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color w:val="auto"/>
          <w:kern w:val="2"/>
          <w:szCs w:val="21"/>
          <w:highlight w:val="none"/>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2</w:t>
      </w:r>
      <w:r>
        <w:rPr>
          <w:rFonts w:cs="Times New Roman"/>
          <w:color w:val="auto"/>
          <w:kern w:val="2"/>
          <w:szCs w:val="21"/>
          <w:highlight w:val="none"/>
        </w:rPr>
        <w:t>.</w:t>
      </w:r>
      <w:r>
        <w:rPr>
          <w:rFonts w:hint="eastAsia" w:cs="Times New Roman"/>
          <w:color w:val="auto"/>
          <w:kern w:val="2"/>
          <w:szCs w:val="21"/>
          <w:highlight w:val="none"/>
        </w:rPr>
        <w:t>投标文件提交方式补充说明：</w:t>
      </w:r>
    </w:p>
    <w:p>
      <w:pPr>
        <w:widowControl w:val="0"/>
        <w:shd w:val="clear" w:color="auto" w:fill="auto"/>
        <w:adjustRightInd/>
        <w:snapToGrid/>
        <w:spacing w:line="240" w:lineRule="auto"/>
        <w:ind w:firstLine="420" w:firstLineChars="200"/>
        <w:rPr>
          <w:rFonts w:hint="eastAsia" w:cs="Times New Roman"/>
          <w:color w:val="auto"/>
          <w:kern w:val="2"/>
          <w:szCs w:val="21"/>
          <w:highlight w:val="none"/>
        </w:rPr>
      </w:pPr>
      <w:r>
        <w:rPr>
          <w:rFonts w:hint="eastAsia" w:cs="Times New Roman"/>
          <w:color w:val="auto"/>
          <w:kern w:val="2"/>
          <w:szCs w:val="21"/>
          <w:highlight w:val="none"/>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hAnsi="Times New Roman" w:cs="Times New Roman"/>
          <w:color w:val="auto"/>
          <w:kern w:val="2"/>
          <w:szCs w:val="21"/>
          <w:highlight w:val="none"/>
        </w:rPr>
        <w:t>3</w:t>
      </w:r>
      <w:r>
        <w:rPr>
          <w:rFonts w:hAnsi="Times New Roman" w:cs="Times New Roman"/>
          <w:color w:val="auto"/>
          <w:kern w:val="2"/>
          <w:szCs w:val="21"/>
          <w:highlight w:val="none"/>
        </w:rPr>
        <w:t>.</w:t>
      </w:r>
      <w:r>
        <w:rPr>
          <w:rFonts w:hint="eastAsia" w:cs="Times New Roman"/>
          <w:color w:val="auto"/>
          <w:kern w:val="2"/>
          <w:szCs w:val="21"/>
          <w:highlight w:val="none"/>
        </w:rPr>
        <w:t>信息发布平台：</w:t>
      </w:r>
    </w:p>
    <w:p>
      <w:pPr>
        <w:widowControl w:val="0"/>
        <w:shd w:val="clear" w:color="auto" w:fill="auto"/>
        <w:adjustRightInd/>
        <w:snapToGrid/>
        <w:spacing w:line="240" w:lineRule="auto"/>
        <w:ind w:left="495"/>
        <w:rPr>
          <w:rFonts w:hint="eastAsia"/>
          <w:color w:val="auto"/>
          <w:szCs w:val="21"/>
          <w:highlight w:val="none"/>
        </w:rPr>
      </w:pPr>
      <w:r>
        <w:rPr>
          <w:rFonts w:hint="eastAsia"/>
          <w:color w:val="auto"/>
          <w:szCs w:val="21"/>
          <w:highlight w:val="none"/>
        </w:rPr>
        <w:t>深圳海关门户网（</w:t>
      </w:r>
      <w:r>
        <w:rPr>
          <w:color w:val="auto"/>
          <w:szCs w:val="21"/>
          <w:highlight w:val="none"/>
        </w:rPr>
        <w:t>http://shenzhen.customs.gov.cn</w:t>
      </w:r>
      <w:r>
        <w:rPr>
          <w:rFonts w:hint="eastAsia"/>
          <w:color w:val="auto"/>
          <w:szCs w:val="21"/>
          <w:highlight w:val="none"/>
        </w:rPr>
        <w:t>）；</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olor w:val="auto"/>
          <w:szCs w:val="21"/>
          <w:highlight w:val="none"/>
        </w:rPr>
        <w:t>采购代理机构官网（</w:t>
      </w:r>
      <w:r>
        <w:rPr>
          <w:color w:val="auto"/>
          <w:szCs w:val="21"/>
          <w:highlight w:val="none"/>
        </w:rPr>
        <w:t>http://www.szsszx.com/</w:t>
      </w:r>
      <w:r>
        <w:rPr>
          <w:rFonts w:hint="eastAsia"/>
          <w:color w:val="auto"/>
          <w:szCs w:val="21"/>
          <w:highlight w:val="none"/>
        </w:rPr>
        <w:t>）。</w:t>
      </w:r>
    </w:p>
    <w:p>
      <w:pPr>
        <w:spacing w:line="240" w:lineRule="auto"/>
        <w:rPr>
          <w:rFonts w:hint="eastAsia"/>
          <w:b/>
          <w:color w:val="auto"/>
          <w:kern w:val="2"/>
          <w:szCs w:val="21"/>
          <w:highlight w:val="none"/>
        </w:rPr>
      </w:pPr>
      <w:bookmarkStart w:id="31" w:name="_Toc35393796"/>
      <w:bookmarkStart w:id="32" w:name="_Toc28359008"/>
      <w:bookmarkStart w:id="33" w:name="_Toc28359085"/>
      <w:bookmarkStart w:id="34" w:name="_Toc35393627"/>
      <w:r>
        <w:rPr>
          <w:rFonts w:hint="eastAsia"/>
          <w:b/>
          <w:color w:val="auto"/>
          <w:kern w:val="2"/>
          <w:szCs w:val="21"/>
          <w:highlight w:val="none"/>
        </w:rPr>
        <w:t>七、对本次招标提出询问，请按</w:t>
      </w:r>
      <w:r>
        <w:rPr>
          <w:b/>
          <w:color w:val="auto"/>
          <w:kern w:val="2"/>
          <w:szCs w:val="21"/>
          <w:highlight w:val="none"/>
        </w:rPr>
        <w:t>以下方式</w:t>
      </w:r>
      <w:r>
        <w:rPr>
          <w:rFonts w:hint="eastAsia"/>
          <w:b/>
          <w:color w:val="auto"/>
          <w:kern w:val="2"/>
          <w:szCs w:val="21"/>
          <w:highlight w:val="none"/>
        </w:rPr>
        <w:t>联系</w:t>
      </w:r>
      <w:bookmarkEnd w:id="31"/>
      <w:bookmarkEnd w:id="32"/>
      <w:bookmarkEnd w:id="33"/>
      <w:bookmarkEnd w:id="34"/>
      <w:r>
        <w:rPr>
          <w:rFonts w:hint="eastAsia"/>
          <w:b/>
          <w:color w:val="auto"/>
          <w:kern w:val="2"/>
          <w:szCs w:val="21"/>
          <w:highlight w:val="none"/>
        </w:rPr>
        <w:t>。</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1.采购人信息</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名称：深圳海关食品检验检疫技术中心</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地址：深圳市福田区福强路</w:t>
      </w:r>
      <w:r>
        <w:rPr>
          <w:rFonts w:cs="Times New Roman"/>
          <w:color w:val="auto"/>
          <w:kern w:val="2"/>
          <w:szCs w:val="21"/>
          <w:highlight w:val="none"/>
        </w:rPr>
        <w:t>1011号</w:t>
      </w:r>
    </w:p>
    <w:p>
      <w:pPr>
        <w:widowControl w:val="0"/>
        <w:shd w:val="clear" w:color="auto" w:fill="auto"/>
        <w:adjustRightInd/>
        <w:snapToGrid/>
        <w:spacing w:line="240" w:lineRule="auto"/>
        <w:ind w:left="495"/>
        <w:rPr>
          <w:rFonts w:hint="eastAsia" w:cs="Times New Roman"/>
          <w:color w:val="auto"/>
          <w:kern w:val="2"/>
          <w:szCs w:val="21"/>
          <w:highlight w:val="none"/>
        </w:rPr>
      </w:pPr>
      <w:bookmarkStart w:id="35" w:name="_Toc28359086"/>
      <w:bookmarkStart w:id="36" w:name="_Toc28359009"/>
      <w:r>
        <w:rPr>
          <w:rFonts w:hint="eastAsia" w:cs="Times New Roman"/>
          <w:color w:val="auto"/>
          <w:kern w:val="2"/>
          <w:szCs w:val="21"/>
          <w:highlight w:val="none"/>
        </w:rPr>
        <w:t>联系方式：刘先生</w:t>
      </w:r>
      <w:r>
        <w:rPr>
          <w:rFonts w:cs="Times New Roman"/>
          <w:color w:val="auto"/>
          <w:kern w:val="2"/>
          <w:szCs w:val="21"/>
          <w:highlight w:val="none"/>
        </w:rPr>
        <w:t>0755-84394179</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采购人监督投诉电话：</w:t>
      </w:r>
      <w:r>
        <w:rPr>
          <w:rFonts w:cs="Times New Roman"/>
          <w:color w:val="auto"/>
          <w:kern w:val="2"/>
          <w:szCs w:val="21"/>
          <w:highlight w:val="none"/>
        </w:rPr>
        <w:t>0755-84398457</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2.采购代理机构信息</w:t>
      </w:r>
      <w:bookmarkEnd w:id="35"/>
      <w:bookmarkEnd w:id="36"/>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名</w:t>
      </w:r>
      <w:r>
        <w:rPr>
          <w:rFonts w:cs="Times New Roman"/>
          <w:color w:val="auto"/>
          <w:kern w:val="2"/>
          <w:szCs w:val="21"/>
          <w:highlight w:val="none"/>
        </w:rPr>
        <w:t>称：深圳市深水水务咨询有限公司</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地</w:t>
      </w:r>
      <w:r>
        <w:rPr>
          <w:rFonts w:cs="Times New Roman"/>
          <w:color w:val="auto"/>
          <w:kern w:val="2"/>
          <w:szCs w:val="21"/>
          <w:highlight w:val="none"/>
        </w:rPr>
        <w:t>址：深圳市罗湖区清水河街道清水河社区清水河一路112号罗湖投资控股大厦裙楼401</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联系方式：庄晓琴</w:t>
      </w:r>
      <w:r>
        <w:rPr>
          <w:rFonts w:cs="Times New Roman"/>
          <w:color w:val="auto"/>
          <w:kern w:val="2"/>
          <w:szCs w:val="21"/>
          <w:highlight w:val="none"/>
        </w:rPr>
        <w:t>0755-25165821/13688812350/Email：498174886@qq.com</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cs="Times New Roman"/>
          <w:color w:val="auto"/>
          <w:kern w:val="2"/>
          <w:szCs w:val="21"/>
          <w:highlight w:val="none"/>
        </w:rPr>
        <w:t>3.项目联系方式</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项目联系人：庄晓琴、李夏冰</w:t>
      </w:r>
    </w:p>
    <w:p>
      <w:pPr>
        <w:widowControl w:val="0"/>
        <w:shd w:val="clear" w:color="auto" w:fill="auto"/>
        <w:adjustRightInd/>
        <w:snapToGrid/>
        <w:spacing w:line="240" w:lineRule="auto"/>
        <w:ind w:left="495"/>
        <w:rPr>
          <w:rFonts w:hint="eastAsia" w:cs="Times New Roman"/>
          <w:color w:val="auto"/>
          <w:kern w:val="2"/>
          <w:szCs w:val="21"/>
          <w:highlight w:val="none"/>
        </w:rPr>
      </w:pPr>
      <w:r>
        <w:rPr>
          <w:rFonts w:hint="eastAsia" w:cs="Times New Roman"/>
          <w:color w:val="auto"/>
          <w:kern w:val="2"/>
          <w:szCs w:val="21"/>
          <w:highlight w:val="none"/>
        </w:rPr>
        <w:t>电</w:t>
      </w:r>
      <w:r>
        <w:rPr>
          <w:rFonts w:cs="Times New Roman"/>
          <w:color w:val="auto"/>
          <w:kern w:val="2"/>
          <w:szCs w:val="21"/>
          <w:highlight w:val="none"/>
        </w:rPr>
        <w:t>话：0755-25165821/13688812350</w:t>
      </w:r>
    </w:p>
    <w:p>
      <w:pPr>
        <w:spacing w:line="240" w:lineRule="auto"/>
        <w:ind w:firstLine="424" w:firstLineChars="202"/>
        <w:jc w:val="right"/>
        <w:rPr>
          <w:rFonts w:hint="eastAsia"/>
          <w:color w:val="auto"/>
          <w:szCs w:val="21"/>
          <w:highlight w:val="none"/>
        </w:rPr>
      </w:pPr>
      <w:r>
        <w:rPr>
          <w:rFonts w:hint="eastAsia"/>
          <w:color w:val="auto"/>
          <w:szCs w:val="21"/>
          <w:highlight w:val="none"/>
        </w:rPr>
        <w:t>深圳市深水水务咨询有限公司</w:t>
      </w:r>
    </w:p>
    <w:p>
      <w:pPr>
        <w:spacing w:line="240" w:lineRule="auto"/>
        <w:ind w:firstLine="424" w:firstLineChars="202"/>
        <w:jc w:val="right"/>
        <w:rPr>
          <w:rFonts w:hint="eastAsia"/>
          <w:color w:val="auto"/>
          <w:szCs w:val="21"/>
          <w:highlight w:val="none"/>
        </w:rPr>
      </w:pPr>
      <w:r>
        <w:rPr>
          <w:rFonts w:hint="eastAsia"/>
          <w:color w:val="auto"/>
          <w:szCs w:val="21"/>
          <w:highlight w:val="none"/>
        </w:rPr>
        <w:t>202</w:t>
      </w:r>
      <w:r>
        <w:rPr>
          <w:color w:val="auto"/>
          <w:szCs w:val="21"/>
          <w:highlight w:val="none"/>
        </w:rPr>
        <w:t>4</w:t>
      </w:r>
      <w:r>
        <w:rPr>
          <w:rFonts w:hint="eastAsia"/>
          <w:color w:val="auto"/>
          <w:szCs w:val="21"/>
          <w:highlight w:val="none"/>
        </w:rPr>
        <w:t>年</w:t>
      </w:r>
      <w:r>
        <w:rPr>
          <w:rFonts w:hint="eastAsia"/>
          <w:color w:val="auto"/>
          <w:szCs w:val="21"/>
          <w:highlight w:val="none"/>
          <w:lang w:val="en-US" w:eastAsia="zh-CN"/>
        </w:rPr>
        <w:t>10</w:t>
      </w:r>
      <w:r>
        <w:rPr>
          <w:rFonts w:hint="eastAsia"/>
          <w:color w:val="auto"/>
          <w:szCs w:val="21"/>
          <w:highlight w:val="none"/>
        </w:rPr>
        <w:t>月</w:t>
      </w:r>
      <w:r>
        <w:rPr>
          <w:rFonts w:hint="eastAsia"/>
          <w:color w:val="auto"/>
          <w:szCs w:val="21"/>
          <w:highlight w:val="none"/>
          <w:lang w:val="en-US" w:eastAsia="zh-CN"/>
        </w:rPr>
        <w:t>22</w:t>
      </w:r>
      <w:r>
        <w:rPr>
          <w:rFonts w:hint="eastAsia"/>
          <w:color w:val="auto"/>
          <w:szCs w:val="21"/>
          <w:highlight w:val="none"/>
        </w:rPr>
        <w:t>日</w:t>
      </w:r>
    </w:p>
    <w:bookmarkEnd w:id="6"/>
    <w:p>
      <w:pPr>
        <w:rPr>
          <w:rFonts w:hint="eastAsia"/>
          <w:highlight w:val="none"/>
        </w:rPr>
      </w:pPr>
      <w:r>
        <w:rPr>
          <w:rFonts w:hint="eastAsia"/>
          <w:highlight w:val="none"/>
        </w:rPr>
        <w:br w:type="page"/>
      </w:r>
    </w:p>
    <w:p>
      <w:pPr>
        <w:pStyle w:val="62"/>
        <w:rPr>
          <w:highlight w:val="none"/>
        </w:rPr>
      </w:pPr>
      <w:bookmarkStart w:id="37" w:name="_Toc13122"/>
      <w:r>
        <w:rPr>
          <w:rFonts w:hint="eastAsia"/>
          <w:highlight w:val="none"/>
        </w:rPr>
        <w:t>第二章 项目需求</w:t>
      </w:r>
      <w:bookmarkEnd w:id="37"/>
    </w:p>
    <w:p>
      <w:pPr>
        <w:numPr>
          <w:ilvl w:val="0"/>
          <w:numId w:val="2"/>
        </w:numPr>
        <w:adjustRightInd/>
        <w:snapToGrid/>
        <w:spacing w:before="280" w:after="290" w:line="377" w:lineRule="auto"/>
        <w:jc w:val="left"/>
        <w:outlineLvl w:val="2"/>
        <w:rPr>
          <w:rFonts w:hint="eastAsia"/>
          <w:b/>
          <w:sz w:val="24"/>
          <w:highlight w:val="none"/>
        </w:rPr>
      </w:pPr>
      <w:bookmarkStart w:id="38" w:name="_Toc150960244"/>
      <w:bookmarkStart w:id="39" w:name="_Toc15786"/>
      <w:bookmarkStart w:id="40" w:name="_Toc151386154"/>
      <w:r>
        <w:rPr>
          <w:b/>
          <w:sz w:val="24"/>
          <w:highlight w:val="none"/>
        </w:rPr>
        <w:t>货物清单</w:t>
      </w:r>
      <w:r>
        <w:rPr>
          <w:rFonts w:hint="eastAsia"/>
          <w:b/>
          <w:sz w:val="24"/>
          <w:highlight w:val="none"/>
        </w:rPr>
        <w:t>一览表</w:t>
      </w:r>
      <w:bookmarkEnd w:id="38"/>
      <w:bookmarkEnd w:id="39"/>
      <w:bookmarkEnd w:id="40"/>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3656"/>
        <w:gridCol w:w="968"/>
        <w:gridCol w:w="880"/>
        <w:gridCol w:w="1447"/>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pPr>
              <w:widowControl w:val="0"/>
              <w:shd w:val="clear" w:color="auto" w:fill="auto"/>
              <w:tabs>
                <w:tab w:val="clear" w:pos="426"/>
              </w:tabs>
              <w:adjustRightInd/>
              <w:snapToGrid/>
              <w:spacing w:line="240" w:lineRule="auto"/>
              <w:jc w:val="center"/>
              <w:rPr>
                <w:rFonts w:hint="eastAsia" w:cs="Times New Roman"/>
                <w:b/>
                <w:bCs/>
                <w:szCs w:val="21"/>
                <w:highlight w:val="none"/>
              </w:rPr>
            </w:pPr>
            <w:r>
              <w:rPr>
                <w:rFonts w:cs="Times New Roman"/>
                <w:b/>
                <w:bCs/>
                <w:szCs w:val="21"/>
                <w:highlight w:val="none"/>
              </w:rPr>
              <w:t>序号</w:t>
            </w:r>
          </w:p>
        </w:tc>
        <w:tc>
          <w:tcPr>
            <w:tcW w:w="1910" w:type="pct"/>
            <w:vAlign w:val="center"/>
          </w:tcPr>
          <w:p>
            <w:pPr>
              <w:widowControl w:val="0"/>
              <w:shd w:val="clear" w:color="auto" w:fill="auto"/>
              <w:tabs>
                <w:tab w:val="clear" w:pos="426"/>
              </w:tabs>
              <w:adjustRightInd/>
              <w:snapToGrid/>
              <w:spacing w:line="240" w:lineRule="auto"/>
              <w:jc w:val="center"/>
              <w:rPr>
                <w:rFonts w:hint="eastAsia" w:cs="Times New Roman"/>
                <w:b/>
                <w:bCs/>
                <w:szCs w:val="21"/>
                <w:highlight w:val="none"/>
              </w:rPr>
            </w:pPr>
            <w:r>
              <w:rPr>
                <w:rFonts w:hint="eastAsia" w:cs="Times New Roman"/>
                <w:b/>
                <w:bCs/>
                <w:szCs w:val="21"/>
                <w:highlight w:val="none"/>
              </w:rPr>
              <w:t>货物（标的）</w:t>
            </w:r>
            <w:r>
              <w:rPr>
                <w:rFonts w:cs="Times New Roman"/>
                <w:b/>
                <w:bCs/>
                <w:szCs w:val="21"/>
                <w:highlight w:val="none"/>
              </w:rPr>
              <w:t>名称</w:t>
            </w:r>
          </w:p>
        </w:tc>
        <w:tc>
          <w:tcPr>
            <w:tcW w:w="506" w:type="pct"/>
            <w:vAlign w:val="center"/>
          </w:tcPr>
          <w:p>
            <w:pPr>
              <w:widowControl w:val="0"/>
              <w:shd w:val="clear" w:color="auto" w:fill="auto"/>
              <w:tabs>
                <w:tab w:val="clear" w:pos="426"/>
              </w:tabs>
              <w:adjustRightInd/>
              <w:snapToGrid/>
              <w:spacing w:line="240" w:lineRule="auto"/>
              <w:jc w:val="center"/>
              <w:rPr>
                <w:rFonts w:hint="eastAsia" w:cs="Times New Roman"/>
                <w:b/>
                <w:bCs/>
                <w:szCs w:val="21"/>
                <w:highlight w:val="none"/>
              </w:rPr>
            </w:pPr>
            <w:r>
              <w:rPr>
                <w:rFonts w:cs="Times New Roman"/>
                <w:b/>
                <w:bCs/>
                <w:szCs w:val="21"/>
                <w:highlight w:val="none"/>
              </w:rPr>
              <w:t>数量</w:t>
            </w:r>
          </w:p>
        </w:tc>
        <w:tc>
          <w:tcPr>
            <w:tcW w:w="460" w:type="pct"/>
            <w:vAlign w:val="center"/>
          </w:tcPr>
          <w:p>
            <w:pPr>
              <w:widowControl w:val="0"/>
              <w:shd w:val="clear" w:color="auto" w:fill="auto"/>
              <w:tabs>
                <w:tab w:val="clear" w:pos="426"/>
              </w:tabs>
              <w:adjustRightInd/>
              <w:snapToGrid/>
              <w:spacing w:line="240" w:lineRule="auto"/>
              <w:jc w:val="center"/>
              <w:rPr>
                <w:rFonts w:hint="eastAsia" w:cs="Times New Roman"/>
                <w:b/>
                <w:bCs/>
                <w:szCs w:val="21"/>
                <w:highlight w:val="none"/>
              </w:rPr>
            </w:pPr>
            <w:r>
              <w:rPr>
                <w:rFonts w:cs="Times New Roman"/>
                <w:b/>
                <w:bCs/>
                <w:szCs w:val="21"/>
                <w:highlight w:val="none"/>
              </w:rPr>
              <w:t>单位</w:t>
            </w:r>
          </w:p>
        </w:tc>
        <w:tc>
          <w:tcPr>
            <w:tcW w:w="756" w:type="pct"/>
            <w:vAlign w:val="center"/>
          </w:tcPr>
          <w:p>
            <w:pPr>
              <w:widowControl w:val="0"/>
              <w:shd w:val="clear" w:color="auto" w:fill="auto"/>
              <w:tabs>
                <w:tab w:val="clear" w:pos="426"/>
              </w:tabs>
              <w:adjustRightInd/>
              <w:snapToGrid/>
              <w:spacing w:line="240" w:lineRule="auto"/>
              <w:jc w:val="center"/>
              <w:rPr>
                <w:rFonts w:hint="eastAsia" w:cs="Times New Roman"/>
                <w:b/>
                <w:bCs/>
                <w:szCs w:val="21"/>
                <w:highlight w:val="none"/>
              </w:rPr>
            </w:pPr>
            <w:r>
              <w:rPr>
                <w:rFonts w:cs="Times New Roman"/>
                <w:b/>
                <w:bCs/>
                <w:szCs w:val="21"/>
                <w:highlight w:val="none"/>
              </w:rPr>
              <w:t>备注</w:t>
            </w:r>
          </w:p>
        </w:tc>
        <w:tc>
          <w:tcPr>
            <w:tcW w:w="1016" w:type="pct"/>
            <w:vAlign w:val="center"/>
          </w:tcPr>
          <w:p>
            <w:pPr>
              <w:widowControl w:val="0"/>
              <w:shd w:val="clear" w:color="auto" w:fill="auto"/>
              <w:tabs>
                <w:tab w:val="clear" w:pos="426"/>
              </w:tabs>
              <w:adjustRightInd/>
              <w:snapToGrid/>
              <w:spacing w:line="240" w:lineRule="auto"/>
              <w:jc w:val="center"/>
              <w:rPr>
                <w:rFonts w:hint="eastAsia" w:cs="Times New Roman"/>
                <w:b/>
                <w:bCs/>
                <w:szCs w:val="21"/>
                <w:highlight w:val="none"/>
              </w:rPr>
            </w:pPr>
            <w:r>
              <w:rPr>
                <w:rFonts w:hint="eastAsia" w:cs="Times New Roman"/>
                <w:b/>
                <w:bCs/>
                <w:szCs w:val="21"/>
                <w:highlight w:val="none"/>
              </w:rPr>
              <w:t>财政</w:t>
            </w:r>
            <w:r>
              <w:rPr>
                <w:rFonts w:cs="Times New Roman"/>
                <w:b/>
                <w:bCs/>
                <w:szCs w:val="21"/>
                <w:highlight w:val="none"/>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pPr>
              <w:tabs>
                <w:tab w:val="clear" w:pos="426"/>
              </w:tabs>
              <w:spacing w:line="240" w:lineRule="auto"/>
              <w:jc w:val="center"/>
              <w:rPr>
                <w:rFonts w:hint="eastAsia"/>
                <w:szCs w:val="21"/>
                <w:highlight w:val="none"/>
              </w:rPr>
            </w:pPr>
            <w:r>
              <w:rPr>
                <w:rFonts w:hint="eastAsia"/>
                <w:szCs w:val="21"/>
                <w:highlight w:val="none"/>
              </w:rPr>
              <w:t>1</w:t>
            </w:r>
          </w:p>
        </w:tc>
        <w:tc>
          <w:tcPr>
            <w:tcW w:w="1910" w:type="pct"/>
            <w:vAlign w:val="center"/>
          </w:tcPr>
          <w:p>
            <w:pPr>
              <w:spacing w:line="240" w:lineRule="auto"/>
              <w:jc w:val="center"/>
              <w:rPr>
                <w:rFonts w:hint="eastAsia"/>
                <w:highlight w:val="none"/>
              </w:rPr>
            </w:pPr>
            <w:r>
              <w:rPr>
                <w:rFonts w:hint="eastAsia"/>
                <w:highlight w:val="none"/>
              </w:rPr>
              <w:t>农兽残检测全流程全自动样品前处理系统</w:t>
            </w:r>
          </w:p>
        </w:tc>
        <w:tc>
          <w:tcPr>
            <w:tcW w:w="506" w:type="pct"/>
            <w:vAlign w:val="center"/>
          </w:tcPr>
          <w:p>
            <w:pPr>
              <w:tabs>
                <w:tab w:val="clear" w:pos="426"/>
              </w:tabs>
              <w:spacing w:line="240" w:lineRule="auto"/>
              <w:jc w:val="center"/>
              <w:rPr>
                <w:rFonts w:hint="eastAsia"/>
                <w:szCs w:val="21"/>
                <w:highlight w:val="none"/>
              </w:rPr>
            </w:pPr>
            <w:r>
              <w:rPr>
                <w:rFonts w:hint="eastAsia"/>
                <w:szCs w:val="21"/>
                <w:highlight w:val="none"/>
              </w:rPr>
              <w:t>1</w:t>
            </w:r>
          </w:p>
        </w:tc>
        <w:tc>
          <w:tcPr>
            <w:tcW w:w="460" w:type="pct"/>
            <w:vAlign w:val="center"/>
          </w:tcPr>
          <w:p>
            <w:pPr>
              <w:tabs>
                <w:tab w:val="clear" w:pos="426"/>
              </w:tabs>
              <w:spacing w:line="240" w:lineRule="auto"/>
              <w:jc w:val="center"/>
              <w:rPr>
                <w:rFonts w:hint="eastAsia"/>
                <w:szCs w:val="21"/>
                <w:highlight w:val="none"/>
              </w:rPr>
            </w:pPr>
            <w:r>
              <w:rPr>
                <w:rFonts w:hint="eastAsia"/>
                <w:szCs w:val="21"/>
                <w:highlight w:val="none"/>
              </w:rPr>
              <w:t>台</w:t>
            </w:r>
          </w:p>
        </w:tc>
        <w:tc>
          <w:tcPr>
            <w:tcW w:w="756" w:type="pct"/>
            <w:vAlign w:val="center"/>
          </w:tcPr>
          <w:p>
            <w:pPr>
              <w:tabs>
                <w:tab w:val="clear" w:pos="426"/>
              </w:tabs>
              <w:spacing w:line="240" w:lineRule="auto"/>
              <w:jc w:val="center"/>
              <w:rPr>
                <w:rFonts w:hint="eastAsia"/>
                <w:bCs/>
                <w:szCs w:val="21"/>
                <w:highlight w:val="none"/>
              </w:rPr>
            </w:pPr>
            <w:r>
              <w:rPr>
                <w:rFonts w:hint="eastAsia"/>
                <w:bCs/>
                <w:szCs w:val="21"/>
                <w:highlight w:val="none"/>
              </w:rPr>
              <w:t>拒绝进口</w:t>
            </w:r>
          </w:p>
        </w:tc>
        <w:tc>
          <w:tcPr>
            <w:tcW w:w="1016" w:type="pct"/>
            <w:vAlign w:val="center"/>
          </w:tcPr>
          <w:p>
            <w:pPr>
              <w:widowControl w:val="0"/>
              <w:shd w:val="clear" w:color="auto" w:fill="auto"/>
              <w:tabs>
                <w:tab w:val="clear" w:pos="426"/>
              </w:tabs>
              <w:adjustRightInd/>
              <w:snapToGrid/>
              <w:spacing w:line="240" w:lineRule="auto"/>
              <w:jc w:val="center"/>
              <w:rPr>
                <w:rFonts w:hint="eastAsia" w:cs="Times New Roman"/>
                <w:szCs w:val="21"/>
                <w:highlight w:val="none"/>
              </w:rPr>
            </w:pPr>
            <w:r>
              <w:rPr>
                <w:rFonts w:hint="eastAsia" w:cs="Times New Roman"/>
                <w:szCs w:val="21"/>
                <w:highlight w:val="none"/>
              </w:rPr>
              <w:t xml:space="preserve">980,000.00  </w:t>
            </w:r>
          </w:p>
        </w:tc>
      </w:tr>
    </w:tbl>
    <w:p>
      <w:pPr>
        <w:spacing w:line="276" w:lineRule="auto"/>
        <w:ind w:firstLine="420" w:firstLineChars="200"/>
        <w:rPr>
          <w:rFonts w:hint="eastAsia"/>
          <w:szCs w:val="21"/>
          <w:highlight w:val="none"/>
        </w:rPr>
      </w:pPr>
      <w:r>
        <w:rPr>
          <w:rFonts w:hint="eastAsia"/>
          <w:szCs w:val="21"/>
          <w:highlight w:val="none"/>
        </w:rPr>
        <w:t>备注：</w:t>
      </w:r>
    </w:p>
    <w:p>
      <w:pPr>
        <w:spacing w:line="276" w:lineRule="auto"/>
        <w:ind w:firstLine="420" w:firstLineChars="200"/>
        <w:rPr>
          <w:rFonts w:hint="eastAsia"/>
          <w:szCs w:val="21"/>
          <w:highlight w:val="none"/>
        </w:rPr>
      </w:pPr>
      <w:r>
        <w:rPr>
          <w:rFonts w:hint="eastAsia"/>
          <w:szCs w:val="21"/>
          <w:highlight w:val="none"/>
        </w:rPr>
        <w:t>1.注明“接受进口”的产品（产品名称）允许供应商选用进口产品参与投标，但不排斥国内产品。</w:t>
      </w:r>
    </w:p>
    <w:p>
      <w:pPr>
        <w:spacing w:line="276" w:lineRule="auto"/>
        <w:ind w:firstLine="420" w:firstLineChars="200"/>
        <w:rPr>
          <w:rFonts w:hint="eastAsia"/>
          <w:szCs w:val="21"/>
          <w:highlight w:val="none"/>
        </w:rPr>
      </w:pPr>
      <w:r>
        <w:rPr>
          <w:rFonts w:hint="eastAsia"/>
          <w:szCs w:val="21"/>
          <w:highlight w:val="none"/>
        </w:rPr>
        <w:t>2</w:t>
      </w:r>
      <w:r>
        <w:rPr>
          <w:szCs w:val="21"/>
          <w:highlight w:val="none"/>
        </w:rPr>
        <w:t>.</w:t>
      </w:r>
      <w:r>
        <w:rPr>
          <w:rFonts w:hint="eastAsia"/>
          <w:szCs w:val="21"/>
          <w:highlight w:val="none"/>
        </w:rPr>
        <w:t>注明“拒绝进口”的产品（产品名称）均不接受供应商选用进口产品参与投标。</w:t>
      </w:r>
    </w:p>
    <w:p>
      <w:pPr>
        <w:spacing w:line="276" w:lineRule="auto"/>
        <w:ind w:firstLine="420" w:firstLineChars="200"/>
        <w:rPr>
          <w:rFonts w:hint="eastAsia"/>
          <w:szCs w:val="21"/>
          <w:highlight w:val="none"/>
        </w:rPr>
      </w:pPr>
      <w:r>
        <w:rPr>
          <w:rFonts w:hint="eastAsia"/>
          <w:szCs w:val="21"/>
          <w:highlight w:val="none"/>
        </w:rPr>
        <w:t>3</w:t>
      </w:r>
      <w:r>
        <w:rPr>
          <w:szCs w:val="21"/>
          <w:highlight w:val="none"/>
        </w:rPr>
        <w:t>.</w:t>
      </w:r>
      <w:r>
        <w:rPr>
          <w:rFonts w:hint="eastAsia"/>
          <w:szCs w:val="21"/>
          <w:highlight w:val="none"/>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0" w:firstLineChars="200"/>
        <w:rPr>
          <w:rFonts w:hint="eastAsia"/>
          <w:szCs w:val="21"/>
          <w:highlight w:val="none"/>
        </w:rPr>
      </w:pPr>
      <w:r>
        <w:rPr>
          <w:rFonts w:hint="eastAsia"/>
          <w:bCs/>
          <w:szCs w:val="21"/>
          <w:highlight w:val="none"/>
        </w:rPr>
        <w:t>4</w:t>
      </w:r>
      <w:r>
        <w:rPr>
          <w:bCs/>
          <w:szCs w:val="21"/>
          <w:highlight w:val="none"/>
        </w:rPr>
        <w:t>.</w:t>
      </w:r>
      <w:r>
        <w:rPr>
          <w:rFonts w:hint="eastAsia"/>
          <w:szCs w:val="21"/>
          <w:highlight w:val="none"/>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rFonts w:hint="eastAsia"/>
          <w:b/>
          <w:sz w:val="24"/>
          <w:highlight w:val="none"/>
        </w:rPr>
      </w:pPr>
      <w:bookmarkStart w:id="41" w:name="_Toc31434"/>
      <w:bookmarkStart w:id="42" w:name="_Toc150960245"/>
      <w:bookmarkStart w:id="43" w:name="_Toc151386155"/>
      <w:r>
        <w:rPr>
          <w:rFonts w:hint="eastAsia"/>
          <w:b/>
          <w:sz w:val="24"/>
          <w:highlight w:val="none"/>
        </w:rPr>
        <w:t>实质性响应条款</w:t>
      </w:r>
      <w:bookmarkEnd w:id="41"/>
      <w:bookmarkEnd w:id="42"/>
      <w:bookmarkEnd w:id="43"/>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highlight w:val="none"/>
              </w:rPr>
            </w:pPr>
            <w:r>
              <w:rPr>
                <w:rFonts w:hint="eastAsia"/>
                <w:b/>
                <w:szCs w:val="21"/>
                <w:highlight w:val="none"/>
              </w:rPr>
              <w:t>序号</w:t>
            </w:r>
          </w:p>
        </w:tc>
        <w:tc>
          <w:tcPr>
            <w:tcW w:w="876" w:type="pct"/>
            <w:vAlign w:val="center"/>
          </w:tcPr>
          <w:p>
            <w:pPr>
              <w:spacing w:line="240" w:lineRule="auto"/>
              <w:jc w:val="center"/>
              <w:rPr>
                <w:rFonts w:hint="eastAsia"/>
                <w:b/>
                <w:szCs w:val="21"/>
                <w:highlight w:val="none"/>
              </w:rPr>
            </w:pPr>
            <w:r>
              <w:rPr>
                <w:rFonts w:hint="eastAsia"/>
                <w:b/>
                <w:szCs w:val="21"/>
                <w:highlight w:val="none"/>
              </w:rPr>
              <w:t>目录</w:t>
            </w:r>
          </w:p>
        </w:tc>
        <w:tc>
          <w:tcPr>
            <w:tcW w:w="3704" w:type="pct"/>
            <w:vAlign w:val="center"/>
          </w:tcPr>
          <w:p>
            <w:pPr>
              <w:spacing w:line="240" w:lineRule="auto"/>
              <w:jc w:val="center"/>
              <w:rPr>
                <w:rFonts w:hint="eastAsia"/>
                <w:b/>
                <w:szCs w:val="21"/>
                <w:highlight w:val="none"/>
              </w:rPr>
            </w:pPr>
            <w:r>
              <w:rPr>
                <w:rFonts w:hint="eastAsia"/>
                <w:b/>
                <w:szCs w:val="21"/>
                <w:highlight w:val="none"/>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highlight w:val="none"/>
              </w:rPr>
            </w:pPr>
            <w:r>
              <w:rPr>
                <w:rFonts w:hint="eastAsia"/>
                <w:b/>
                <w:szCs w:val="21"/>
                <w:highlight w:val="none"/>
              </w:rPr>
              <w:t>1</w:t>
            </w:r>
          </w:p>
        </w:tc>
        <w:tc>
          <w:tcPr>
            <w:tcW w:w="876" w:type="pct"/>
            <w:vAlign w:val="center"/>
          </w:tcPr>
          <w:p>
            <w:pPr>
              <w:tabs>
                <w:tab w:val="clear" w:pos="426"/>
              </w:tabs>
              <w:spacing w:line="240" w:lineRule="auto"/>
              <w:jc w:val="left"/>
              <w:rPr>
                <w:rFonts w:hint="eastAsia" w:cs="Times New Roman"/>
                <w:kern w:val="2"/>
                <w:szCs w:val="21"/>
                <w:highlight w:val="none"/>
              </w:rPr>
            </w:pPr>
            <w:r>
              <w:rPr>
                <w:rFonts w:hint="eastAsia" w:cs="Times New Roman"/>
                <w:kern w:val="2"/>
                <w:szCs w:val="21"/>
                <w:highlight w:val="none"/>
              </w:rPr>
              <w:t>技术要求</w:t>
            </w:r>
          </w:p>
        </w:tc>
        <w:tc>
          <w:tcPr>
            <w:tcW w:w="3704" w:type="pct"/>
            <w:vAlign w:val="center"/>
          </w:tcPr>
          <w:p>
            <w:pPr>
              <w:spacing w:line="240" w:lineRule="auto"/>
              <w:rPr>
                <w:rFonts w:hint="eastAsia"/>
                <w:szCs w:val="21"/>
                <w:highlight w:val="none"/>
                <w:lang w:bidi="ar"/>
              </w:rPr>
            </w:pPr>
            <w:r>
              <w:rPr>
                <w:rFonts w:hint="eastAsia" w:cs="Times New Roman"/>
                <w:kern w:val="2"/>
                <w:szCs w:val="21"/>
                <w:highlight w:val="none"/>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rFonts w:hint="eastAsia"/>
                <w:b/>
                <w:szCs w:val="21"/>
                <w:highlight w:val="none"/>
              </w:rPr>
            </w:pPr>
            <w:r>
              <w:rPr>
                <w:rFonts w:hint="eastAsia"/>
                <w:b/>
                <w:szCs w:val="21"/>
                <w:highlight w:val="none"/>
              </w:rPr>
              <w:t>2</w:t>
            </w:r>
          </w:p>
        </w:tc>
        <w:tc>
          <w:tcPr>
            <w:tcW w:w="876" w:type="pct"/>
            <w:vAlign w:val="center"/>
          </w:tcPr>
          <w:p>
            <w:pPr>
              <w:tabs>
                <w:tab w:val="clear" w:pos="426"/>
              </w:tabs>
              <w:spacing w:line="240" w:lineRule="auto"/>
              <w:jc w:val="left"/>
              <w:rPr>
                <w:rFonts w:hint="eastAsia" w:cs="Times New Roman"/>
                <w:kern w:val="2"/>
                <w:szCs w:val="21"/>
                <w:highlight w:val="none"/>
              </w:rPr>
            </w:pPr>
            <w:r>
              <w:rPr>
                <w:rFonts w:hint="eastAsia" w:cs="Times New Roman"/>
                <w:kern w:val="2"/>
                <w:szCs w:val="21"/>
                <w:highlight w:val="none"/>
              </w:rPr>
              <w:t>商务要求</w:t>
            </w:r>
          </w:p>
        </w:tc>
        <w:tc>
          <w:tcPr>
            <w:tcW w:w="3704" w:type="pct"/>
            <w:vAlign w:val="center"/>
          </w:tcPr>
          <w:p>
            <w:pPr>
              <w:spacing w:line="240" w:lineRule="auto"/>
              <w:rPr>
                <w:rFonts w:hint="eastAsia"/>
                <w:szCs w:val="21"/>
                <w:highlight w:val="none"/>
                <w:lang w:bidi="ar"/>
              </w:rPr>
            </w:pPr>
            <w:r>
              <w:rPr>
                <w:rFonts w:hint="eastAsia" w:cs="Times New Roman"/>
                <w:kern w:val="2"/>
                <w:szCs w:val="21"/>
                <w:highlight w:val="none"/>
              </w:rPr>
              <w:t>带★内容。</w:t>
            </w:r>
          </w:p>
        </w:tc>
      </w:tr>
    </w:tbl>
    <w:p>
      <w:pPr>
        <w:spacing w:line="276" w:lineRule="auto"/>
        <w:ind w:firstLine="420" w:firstLineChars="200"/>
        <w:rPr>
          <w:rFonts w:hint="eastAsia"/>
          <w:bCs/>
          <w:szCs w:val="21"/>
          <w:highlight w:val="none"/>
        </w:rPr>
      </w:pPr>
      <w:r>
        <w:rPr>
          <w:rFonts w:hint="eastAsia"/>
          <w:bCs/>
          <w:szCs w:val="21"/>
          <w:highlight w:val="none"/>
        </w:rPr>
        <w:t>备注：</w:t>
      </w:r>
    </w:p>
    <w:p>
      <w:pPr>
        <w:spacing w:line="276" w:lineRule="auto"/>
        <w:ind w:firstLine="420" w:firstLineChars="200"/>
        <w:rPr>
          <w:rFonts w:hint="eastAsia"/>
          <w:bCs/>
          <w:szCs w:val="21"/>
          <w:highlight w:val="none"/>
        </w:rPr>
      </w:pPr>
      <w:r>
        <w:rPr>
          <w:bCs/>
          <w:szCs w:val="21"/>
          <w:highlight w:val="none"/>
        </w:rPr>
        <w:t>1.</w:t>
      </w:r>
      <w:r>
        <w:rPr>
          <w:rFonts w:hint="eastAsia"/>
          <w:bCs/>
          <w:szCs w:val="21"/>
          <w:highlight w:val="none"/>
        </w:rPr>
        <w:t>请各位投标人仔细核对：确保投标文件已按照招标文件要求，在招标文件规定的投标文件格式中的对应节点进行逐一响应，不允许有任何负偏离，否则将作投标无效处理</w:t>
      </w:r>
      <w:r>
        <w:rPr>
          <w:bCs/>
          <w:szCs w:val="21"/>
          <w:highlight w:val="none"/>
        </w:rPr>
        <w:t>。</w:t>
      </w:r>
    </w:p>
    <w:p>
      <w:pPr>
        <w:numPr>
          <w:ilvl w:val="0"/>
          <w:numId w:val="2"/>
        </w:numPr>
        <w:adjustRightInd/>
        <w:snapToGrid/>
        <w:spacing w:before="280" w:after="290" w:line="377" w:lineRule="auto"/>
        <w:jc w:val="left"/>
        <w:outlineLvl w:val="2"/>
        <w:rPr>
          <w:rFonts w:hint="eastAsia"/>
          <w:b/>
          <w:sz w:val="24"/>
          <w:highlight w:val="none"/>
        </w:rPr>
      </w:pPr>
      <w:bookmarkStart w:id="44" w:name="_Toc150960246"/>
      <w:bookmarkStart w:id="45" w:name="_Toc151386156"/>
      <w:bookmarkStart w:id="46" w:name="_Toc27732"/>
      <w:r>
        <w:rPr>
          <w:rFonts w:hint="eastAsia"/>
          <w:b/>
          <w:sz w:val="24"/>
          <w:highlight w:val="none"/>
        </w:rPr>
        <w:t>技术要求</w:t>
      </w:r>
      <w:bookmarkEnd w:id="44"/>
      <w:bookmarkEnd w:id="45"/>
      <w:bookmarkEnd w:id="46"/>
    </w:p>
    <w:tbl>
      <w:tblPr>
        <w:tblStyle w:val="85"/>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7"/>
        <w:gridCol w:w="1318"/>
        <w:gridCol w:w="1059"/>
        <w:gridCol w:w="5454"/>
        <w:gridCol w:w="1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48"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689"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highlight w:val="none"/>
              </w:rPr>
            </w:pPr>
            <w:r>
              <w:rPr>
                <w:rFonts w:hint="eastAsia" w:ascii="宋体" w:hAnsi="宋体" w:cs="宋体"/>
                <w:b/>
                <w:bCs/>
                <w:szCs w:val="21"/>
                <w:highlight w:val="none"/>
              </w:rPr>
              <w:t>货物名称</w:t>
            </w:r>
          </w:p>
        </w:tc>
        <w:tc>
          <w:tcPr>
            <w:tcW w:w="553"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highlight w:val="none"/>
              </w:rPr>
            </w:pPr>
            <w:r>
              <w:rPr>
                <w:rFonts w:hint="eastAsia" w:ascii="宋体" w:hAnsi="宋体" w:cs="宋体"/>
                <w:b/>
                <w:bCs/>
                <w:szCs w:val="21"/>
                <w:highlight w:val="none"/>
              </w:rPr>
              <w:t>总数量</w:t>
            </w:r>
          </w:p>
        </w:tc>
        <w:tc>
          <w:tcPr>
            <w:tcW w:w="2852"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highlight w:val="none"/>
              </w:rPr>
            </w:pPr>
            <w:r>
              <w:rPr>
                <w:rFonts w:hint="eastAsia" w:ascii="宋体" w:hAnsi="宋体" w:cs="宋体"/>
                <w:b/>
                <w:bCs/>
                <w:szCs w:val="21"/>
                <w:highlight w:val="none"/>
              </w:rPr>
              <w:t>技术参数要求</w:t>
            </w:r>
          </w:p>
        </w:tc>
        <w:tc>
          <w:tcPr>
            <w:tcW w:w="554" w:type="pct"/>
            <w:tcBorders>
              <w:top w:val="single" w:color="auto" w:sz="4" w:space="0"/>
              <w:left w:val="single" w:color="auto" w:sz="4" w:space="0"/>
              <w:bottom w:val="single" w:color="auto" w:sz="4" w:space="0"/>
              <w:right w:val="single" w:color="auto" w:sz="4" w:space="0"/>
            </w:tcBorders>
            <w:vAlign w:val="center"/>
          </w:tcPr>
          <w:p>
            <w:pPr>
              <w:pStyle w:val="559"/>
              <w:jc w:val="center"/>
              <w:rPr>
                <w:rFonts w:hint="eastAsia" w:ascii="宋体" w:hAnsi="宋体" w:cs="宋体"/>
                <w:b/>
                <w:bCs/>
                <w:szCs w:val="21"/>
                <w:highlight w:val="none"/>
              </w:rPr>
            </w:pPr>
            <w:r>
              <w:rPr>
                <w:rFonts w:hint="eastAsia" w:ascii="宋体" w:hAnsi="宋体" w:cs="宋体"/>
                <w:b/>
                <w:bCs/>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348" w:type="pct"/>
            <w:vMerge w:val="restart"/>
            <w:tcBorders>
              <w:top w:val="single" w:color="auto" w:sz="4" w:space="0"/>
              <w:left w:val="single" w:color="auto" w:sz="4" w:space="0"/>
              <w:right w:val="single" w:color="auto" w:sz="4" w:space="0"/>
            </w:tcBorders>
            <w:vAlign w:val="center"/>
          </w:tcPr>
          <w:p>
            <w:pPr>
              <w:pStyle w:val="559"/>
              <w:rPr>
                <w:rFonts w:hint="eastAsia" w:ascii="宋体" w:hAnsi="宋体" w:cs="宋体"/>
                <w:szCs w:val="21"/>
                <w:highlight w:val="none"/>
              </w:rPr>
            </w:pPr>
            <w:r>
              <w:rPr>
                <w:rFonts w:hint="eastAsia" w:ascii="宋体" w:hAnsi="宋体" w:cs="宋体"/>
                <w:szCs w:val="21"/>
                <w:highlight w:val="none"/>
              </w:rPr>
              <w:t>1</w:t>
            </w:r>
          </w:p>
        </w:tc>
        <w:tc>
          <w:tcPr>
            <w:tcW w:w="689" w:type="pct"/>
            <w:vMerge w:val="restart"/>
            <w:tcBorders>
              <w:top w:val="single" w:color="auto" w:sz="4" w:space="0"/>
              <w:left w:val="single" w:color="auto" w:sz="4" w:space="0"/>
              <w:right w:val="single" w:color="auto" w:sz="4" w:space="0"/>
            </w:tcBorders>
            <w:vAlign w:val="center"/>
          </w:tcPr>
          <w:p>
            <w:pPr>
              <w:pStyle w:val="559"/>
              <w:rPr>
                <w:rFonts w:hint="eastAsia" w:ascii="宋体" w:hAnsi="宋体" w:cs="宋体"/>
                <w:szCs w:val="21"/>
                <w:highlight w:val="none"/>
              </w:rPr>
            </w:pPr>
            <w:r>
              <w:rPr>
                <w:rFonts w:hint="eastAsia" w:ascii="宋体" w:hAnsi="宋体" w:cs="宋体"/>
                <w:szCs w:val="21"/>
                <w:highlight w:val="none"/>
              </w:rPr>
              <w:t>农兽残检测全流程全自动样品前处理系统</w:t>
            </w:r>
          </w:p>
        </w:tc>
        <w:tc>
          <w:tcPr>
            <w:tcW w:w="553" w:type="pct"/>
            <w:vMerge w:val="restart"/>
            <w:tcBorders>
              <w:top w:val="single" w:color="auto" w:sz="4" w:space="0"/>
              <w:left w:val="single" w:color="auto" w:sz="4" w:space="0"/>
              <w:right w:val="single" w:color="auto" w:sz="4" w:space="0"/>
            </w:tcBorders>
            <w:vAlign w:val="center"/>
          </w:tcPr>
          <w:p>
            <w:pPr>
              <w:pStyle w:val="559"/>
              <w:jc w:val="center"/>
              <w:rPr>
                <w:rFonts w:hint="eastAsia" w:ascii="宋体" w:hAnsi="宋体" w:cs="宋体"/>
                <w:szCs w:val="21"/>
                <w:highlight w:val="none"/>
              </w:rPr>
            </w:pPr>
            <w:r>
              <w:rPr>
                <w:rFonts w:hint="eastAsia" w:ascii="宋体" w:hAnsi="宋体" w:cs="宋体"/>
                <w:szCs w:val="21"/>
                <w:highlight w:val="none"/>
              </w:rPr>
              <w:t>1台</w:t>
            </w: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bCs/>
                <w:szCs w:val="21"/>
                <w:highlight w:val="none"/>
              </w:rPr>
              <w:t>主要技术参数：</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348"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contextualSpacing/>
              <w:rPr>
                <w:rFonts w:hint="eastAsia"/>
                <w:b/>
                <w:bCs/>
                <w:szCs w:val="21"/>
                <w:highlight w:val="none"/>
              </w:rPr>
            </w:pPr>
            <w:r>
              <w:rPr>
                <w:rFonts w:hint="eastAsia"/>
                <w:b/>
                <w:bCs/>
                <w:szCs w:val="21"/>
                <w:highlight w:val="none"/>
              </w:rPr>
              <w:t xml:space="preserve">1 用途: </w:t>
            </w:r>
            <w:r>
              <w:rPr>
                <w:rFonts w:hint="eastAsia"/>
                <w:szCs w:val="21"/>
                <w:highlight w:val="none"/>
              </w:rPr>
              <w:t>该系统主要用于食品、农产品农药残留检测时，利用QuEChERS方法对不同种类样品进行提取和净化处理。</w:t>
            </w:r>
          </w:p>
        </w:tc>
        <w:tc>
          <w:tcPr>
            <w:tcW w:w="55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contextualSpacing/>
              <w:rPr>
                <w:rFonts w:hint="eastAsia"/>
                <w:b/>
                <w:bCs/>
                <w:szCs w:val="21"/>
                <w:highlight w:val="none"/>
              </w:rPr>
            </w:pPr>
            <w:r>
              <w:rPr>
                <w:rFonts w:hint="eastAsia"/>
                <w:b/>
                <w:bCs/>
                <w:szCs w:val="21"/>
                <w:highlight w:val="none"/>
              </w:rPr>
              <w:t>2应用范围：</w:t>
            </w:r>
            <w:r>
              <w:rPr>
                <w:rFonts w:hint="eastAsia"/>
                <w:szCs w:val="21"/>
                <w:highlight w:val="none"/>
              </w:rPr>
              <w:t>该系统主要应用于食品、农产品农药残留检测时，利用Quenchers方法对不同种类样品进行提取和净化处理。</w:t>
            </w:r>
          </w:p>
        </w:tc>
        <w:tc>
          <w:tcPr>
            <w:tcW w:w="55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szCs w:val="21"/>
                <w:highlight w:val="none"/>
              </w:rPr>
              <w:t>3 供货要求：</w:t>
            </w:r>
            <w:r>
              <w:rPr>
                <w:rFonts w:hint="eastAsia"/>
                <w:szCs w:val="21"/>
                <w:highlight w:val="none"/>
              </w:rPr>
              <w:t>功能岛模块化，每个功能岛均可单独使用也可以串联使用；应包括样品管理模块、振荡提取模块、离心功能模块、氮吹浓缩模块、过滤功能模块、AGV小车、控制系统模块等。</w:t>
            </w:r>
          </w:p>
        </w:tc>
        <w:tc>
          <w:tcPr>
            <w:tcW w:w="554"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szCs w:val="21"/>
                <w:highlight w:val="none"/>
              </w:rPr>
              <w:t>4 技术指标：</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4.1工作条件：工作电压：220 V±10%，50Hz；温度：4 ℃-40 ℃；相对湿度：20~80% RH。</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4.2技术指标</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bCs/>
                <w:szCs w:val="21"/>
                <w:highlight w:val="none"/>
              </w:rPr>
              <w:t>★4.2.1设备可完成从样本进入到最终产物输出的全过程自动化，期间无需人工参与。操作过程包括：添加液体试剂、加入质控品、加盐、均质提取、超声提取、振荡提取（垂直振荡或涡旋振荡）、提取盐加入、离心分离、上清液分取、氮吹浓缩、自动滤膜过滤。</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▲4.2.2最大连续处理样品量：≥96个样品，无需人为介入，仪器能自动对不大于96个样品进行上条参数中所有步骤的样品前处理（以GB 23200.121、GB 23200.113方法进行计算）。系统可进行快速拓展，根据客户场地进行布局调整，功能模块数量可进行拓展。</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bCs/>
                <w:szCs w:val="21"/>
                <w:highlight w:val="none"/>
              </w:rPr>
              <w:t>4.3样品管理模块</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▲4.3.1样品管理模块：采用立体仓库形式，目前有两种容量规格样品管理模块。</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▲4.3.2 可同时容纳不少于96个50mL样本管的管架，并可切换为15mL样本管管架。</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▲4.3.3具有管架扫码装置，可快速识别样品架类别。</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4.3.4具有自动转运模块，可进行管架的自动出入库操作。</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bCs/>
                <w:szCs w:val="21"/>
                <w:highlight w:val="none"/>
              </w:rPr>
              <w:t>4.4 振荡提取模块</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hint="eastAsia"/>
                <w:b/>
                <w:bCs/>
                <w:szCs w:val="21"/>
                <w:highlight w:val="none"/>
              </w:rPr>
            </w:pPr>
            <w:r>
              <w:rPr>
                <w:rFonts w:hint="eastAsia"/>
                <w:szCs w:val="21"/>
                <w:highlight w:val="none"/>
              </w:rPr>
              <w:t>主要完成样品的垂直振荡提取功能，涡旋振荡功能，加液功能，加盐功能，加均质功能，移液分取功能，加入质控品功能。主要完成快速样品处理法中的样品提取、净化功能。</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▲4.4.1加试剂模块拥有X-Y-Z三方向移动功能的移液枪，移动精度≤0.1 mm，并能在20 s内完成最大10 mL的移液功能，加试剂精度≤±0.1%；</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▲4.4.2具有样品架识别功能，管架摆放数量≥10个。</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w:t>
            </w:r>
            <w:r>
              <w:rPr>
                <w:rFonts w:hint="eastAsia"/>
                <w:b/>
                <w:bCs/>
                <w:szCs w:val="21"/>
                <w:highlight w:val="none"/>
              </w:rPr>
              <w:t>4.4.3垂直振荡提取模块具有4位50 mL，4位15 mL离心管架，振荡频率≥900 rpm；振幅≥30 mm；振荡速度、时间可调。</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▲4.4.4涡旋振荡模块具有4位50 mL，4位15ml离心管架，振荡频率≥2500 rpm，振荡速度、时间可调。</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w:t>
            </w:r>
            <w:r>
              <w:rPr>
                <w:rFonts w:hint="eastAsia"/>
                <w:b/>
                <w:bCs/>
                <w:szCs w:val="21"/>
                <w:highlight w:val="none"/>
              </w:rPr>
              <w:t>4.5具有自动加盐功能</w:t>
            </w:r>
            <w:r>
              <w:rPr>
                <w:rFonts w:hint="eastAsia"/>
                <w:szCs w:val="21"/>
                <w:highlight w:val="none"/>
              </w:rPr>
              <w:t>：采用预制盐管方式。</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w:t>
            </w:r>
            <w:r>
              <w:rPr>
                <w:rFonts w:hint="eastAsia"/>
                <w:b/>
                <w:bCs/>
                <w:szCs w:val="21"/>
                <w:highlight w:val="none"/>
              </w:rPr>
              <w:t>4.6具有加液功能</w:t>
            </w:r>
            <w:r>
              <w:rPr>
                <w:rFonts w:hint="eastAsia"/>
                <w:szCs w:val="21"/>
                <w:highlight w:val="none"/>
              </w:rPr>
              <w:t>：使用高精度注射泵，加液精度≤±1%；溶剂选择数量≥6种。</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▲4.7具有加质控品功能：标液最大选择数量≥4种，加标针具有自动清洗内外壁功能，防止交叉污染。</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4.8具有移液分取功能，可定量转移液体样品，移液针可自动进行内外壁清洗，避免交叉污染。</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▲4.9可自动进行15 mL、50 mL离心管的自动开关盖，管盖暂存位置≥6个。</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▲4.10具有独立的均质子添加模块，添加数量可设置。</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4.11功能岛可脱离系统平台独立运行。</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bCs/>
                <w:szCs w:val="21"/>
                <w:highlight w:val="none"/>
              </w:rPr>
              <w:t>4.12 离心功能模块</w:t>
            </w:r>
            <w:r>
              <w:rPr>
                <w:rFonts w:hint="eastAsia"/>
                <w:szCs w:val="21"/>
                <w:highlight w:val="none"/>
              </w:rPr>
              <w:t>：主要完成样品的离心功能。</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4.12.1机械手平台6轴机械手为主要部件；</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4.12.2轴上搭载夹爪，可实现整架样品的移动；同时可实现样品单个移动。</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▲4.12.3配置2台高速冷冻离心机，可进行位置判定；一套系统可覆盖两台离心机；可根据实际情况，对离心机进行自行控制或者嵌入控制；离心机速率不低于10000 rpm，并可适配50 mL、15 mL管。</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▲4.12.4功能岛可脱离系统平台独立运行。</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▲4.12.5 50 mL 6孔离心机转子最大转速10000 rpm，15 ml 8孔离心机转子最大转速10000 rpm。</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▲4.12.6标准配置50 mL 离心管转子1个，15 mL离心管转子1个。</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bCs/>
                <w:szCs w:val="21"/>
                <w:highlight w:val="none"/>
              </w:rPr>
              <w:t>4.13 样品传送模块</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4.13.1 可实现样品在各个功能模块中的转移传送功能。</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4.13.2 自动完成样品从样品管理模块出入库扫码，记录样品信息的功能。</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bCs/>
                <w:szCs w:val="21"/>
                <w:highlight w:val="none"/>
              </w:rPr>
              <w:t>★4.13.3 采用AGV+6轴机械臂的形式进行样品传送，机械臂定位精度≤±1 mm ；机器人整体尺寸长≤ 600 mm，宽度≤ 500 mm。</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▲4.13.4 AGV 负载≥100 kg，电池容量≥40 AH，连续运行时长不小于8小时，充电效率≥13 AH/每小时。</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5 系统控制平台</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5.1 系统控制：自带移动式终端，采用触控形式。</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5.2 软件功能：</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5.2.1直观的方法编辑模块，同时可以对各个步骤的参数进行编辑。</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5.2.2 序列编辑模块，可以根据需求对样品进行序列编辑。</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5.2.3预留系统控制软件接口</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6.其他技术参数：</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标题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▲6.1通量≥200样本/天。</w:t>
            </w:r>
          </w:p>
        </w:tc>
        <w:tc>
          <w:tcPr>
            <w:tcW w:w="55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 w:hRule="atLeast"/>
        </w:trPr>
        <w:tc>
          <w:tcPr>
            <w:tcW w:w="348"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szCs w:val="21"/>
                <w:highlight w:val="none"/>
              </w:rPr>
              <w:t>▲6.2可连续上样，设备在运行过程中，可随时添加检测样本，无需中止或暂停进行中的实验流程。</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348" w:type="pct"/>
            <w:vMerge w:val="continue"/>
            <w:tcBorders>
              <w:left w:val="single" w:color="auto" w:sz="4" w:space="0"/>
              <w:bottom w:val="single" w:color="auto" w:sz="4" w:space="0"/>
              <w:right w:val="single" w:color="auto" w:sz="4" w:space="0"/>
            </w:tcBorders>
            <w:vAlign w:val="center"/>
          </w:tcPr>
          <w:p>
            <w:pPr>
              <w:spacing w:line="240" w:lineRule="auto"/>
              <w:rPr>
                <w:rFonts w:hint="eastAsia"/>
                <w:b/>
                <w:bCs/>
                <w:szCs w:val="21"/>
                <w:highlight w:val="none"/>
              </w:rPr>
            </w:pPr>
          </w:p>
        </w:tc>
        <w:tc>
          <w:tcPr>
            <w:tcW w:w="689" w:type="pct"/>
            <w:vMerge w:val="continue"/>
            <w:tcBorders>
              <w:left w:val="single" w:color="auto" w:sz="4" w:space="0"/>
              <w:bottom w:val="single" w:color="auto" w:sz="4" w:space="0"/>
              <w:right w:val="single" w:color="auto" w:sz="4" w:space="0"/>
            </w:tcBorders>
            <w:vAlign w:val="center"/>
          </w:tcPr>
          <w:p>
            <w:pPr>
              <w:spacing w:line="240" w:lineRule="auto"/>
              <w:rPr>
                <w:rFonts w:hint="eastAsia"/>
                <w:b/>
                <w:bCs/>
                <w:szCs w:val="21"/>
                <w:highlight w:val="none"/>
              </w:rPr>
            </w:pPr>
          </w:p>
        </w:tc>
        <w:tc>
          <w:tcPr>
            <w:tcW w:w="553" w:type="pct"/>
            <w:vMerge w:val="continue"/>
            <w:tcBorders>
              <w:left w:val="single" w:color="auto" w:sz="4" w:space="0"/>
              <w:bottom w:val="single" w:color="auto" w:sz="4" w:space="0"/>
              <w:right w:val="single" w:color="auto" w:sz="4" w:space="0"/>
            </w:tcBorders>
            <w:vAlign w:val="center"/>
          </w:tcPr>
          <w:p>
            <w:pPr>
              <w:spacing w:line="240" w:lineRule="auto"/>
              <w:rPr>
                <w:rFonts w:hint="eastAsia"/>
                <w:b/>
                <w:bCs/>
                <w:szCs w:val="21"/>
                <w:highlight w:val="none"/>
              </w:rPr>
            </w:pPr>
          </w:p>
        </w:tc>
        <w:tc>
          <w:tcPr>
            <w:tcW w:w="2852" w:type="pct"/>
            <w:tcBorders>
              <w:top w:val="single" w:color="auto" w:sz="4" w:space="0"/>
              <w:left w:val="single" w:color="auto" w:sz="4" w:space="0"/>
              <w:bottom w:val="single" w:color="auto" w:sz="4" w:space="0"/>
              <w:right w:val="single" w:color="auto" w:sz="4" w:space="0"/>
            </w:tcBorders>
          </w:tcPr>
          <w:p>
            <w:pPr>
              <w:spacing w:line="240" w:lineRule="auto"/>
              <w:rPr>
                <w:rFonts w:hint="eastAsia"/>
                <w:b/>
                <w:bCs/>
                <w:szCs w:val="21"/>
                <w:highlight w:val="none"/>
              </w:rPr>
            </w:pPr>
            <w:r>
              <w:rPr>
                <w:rFonts w:hint="eastAsia"/>
                <w:b/>
                <w:bCs/>
                <w:szCs w:val="21"/>
                <w:highlight w:val="none"/>
              </w:rPr>
              <w:t>★7.配置要求：</w:t>
            </w:r>
          </w:p>
          <w:p>
            <w:pPr>
              <w:spacing w:line="240" w:lineRule="auto"/>
              <w:rPr>
                <w:rFonts w:hint="eastAsia"/>
                <w:b/>
                <w:bCs/>
                <w:szCs w:val="21"/>
                <w:highlight w:val="none"/>
              </w:rPr>
            </w:pPr>
            <w:r>
              <w:rPr>
                <w:rFonts w:hint="eastAsia"/>
                <w:b/>
                <w:bCs/>
                <w:szCs w:val="21"/>
                <w:highlight w:val="none"/>
              </w:rPr>
              <w:t>配置不少于以下部件或功能：</w:t>
            </w:r>
          </w:p>
          <w:p>
            <w:pPr>
              <w:spacing w:line="240" w:lineRule="auto"/>
              <w:rPr>
                <w:rFonts w:hint="eastAsia"/>
                <w:b/>
                <w:bCs/>
                <w:szCs w:val="21"/>
                <w:highlight w:val="none"/>
              </w:rPr>
            </w:pPr>
            <w:r>
              <w:rPr>
                <w:rFonts w:hint="eastAsia"/>
                <w:b/>
                <w:bCs/>
                <w:szCs w:val="21"/>
                <w:highlight w:val="none"/>
              </w:rPr>
              <w:t>7.1样本管进料器1套</w:t>
            </w:r>
          </w:p>
          <w:p>
            <w:pPr>
              <w:spacing w:line="240" w:lineRule="auto"/>
              <w:rPr>
                <w:rFonts w:hint="eastAsia"/>
                <w:b/>
                <w:bCs/>
                <w:szCs w:val="21"/>
                <w:highlight w:val="none"/>
              </w:rPr>
            </w:pPr>
            <w:r>
              <w:rPr>
                <w:rFonts w:hint="eastAsia"/>
                <w:b/>
                <w:bCs/>
                <w:szCs w:val="21"/>
                <w:highlight w:val="none"/>
              </w:rPr>
              <w:t>7.2开关盖和加试剂、加盐模块1套</w:t>
            </w:r>
          </w:p>
          <w:p>
            <w:pPr>
              <w:spacing w:line="240" w:lineRule="auto"/>
              <w:rPr>
                <w:rFonts w:hint="eastAsia"/>
                <w:b/>
                <w:bCs/>
                <w:szCs w:val="21"/>
                <w:highlight w:val="none"/>
              </w:rPr>
            </w:pPr>
            <w:r>
              <w:rPr>
                <w:rFonts w:hint="eastAsia"/>
                <w:b/>
                <w:bCs/>
                <w:szCs w:val="21"/>
                <w:highlight w:val="none"/>
              </w:rPr>
              <w:t>7.3振荡混匀模块1套</w:t>
            </w:r>
          </w:p>
          <w:p>
            <w:pPr>
              <w:spacing w:line="240" w:lineRule="auto"/>
              <w:rPr>
                <w:rFonts w:hint="eastAsia"/>
                <w:b/>
                <w:bCs/>
                <w:szCs w:val="21"/>
                <w:highlight w:val="none"/>
              </w:rPr>
            </w:pPr>
            <w:r>
              <w:rPr>
                <w:rFonts w:hint="eastAsia"/>
                <w:b/>
                <w:bCs/>
                <w:szCs w:val="21"/>
                <w:highlight w:val="none"/>
              </w:rPr>
              <w:t>7.4离心机 2台</w:t>
            </w:r>
          </w:p>
          <w:p>
            <w:pPr>
              <w:spacing w:line="240" w:lineRule="auto"/>
              <w:rPr>
                <w:rFonts w:hint="eastAsia"/>
                <w:b/>
                <w:bCs/>
                <w:szCs w:val="21"/>
                <w:highlight w:val="none"/>
              </w:rPr>
            </w:pPr>
            <w:r>
              <w:rPr>
                <w:rFonts w:hint="eastAsia"/>
                <w:b/>
                <w:bCs/>
                <w:szCs w:val="21"/>
                <w:highlight w:val="none"/>
              </w:rPr>
              <w:t>7.5净化管进料器1套</w:t>
            </w:r>
          </w:p>
          <w:p>
            <w:pPr>
              <w:spacing w:line="240" w:lineRule="auto"/>
              <w:rPr>
                <w:rFonts w:hint="eastAsia"/>
                <w:b/>
                <w:bCs/>
                <w:szCs w:val="21"/>
                <w:highlight w:val="none"/>
              </w:rPr>
            </w:pPr>
            <w:r>
              <w:rPr>
                <w:rFonts w:hint="eastAsia"/>
                <w:b/>
                <w:bCs/>
                <w:szCs w:val="21"/>
                <w:highlight w:val="none"/>
              </w:rPr>
              <w:t>7.6 15ml管开关盖模块1套</w:t>
            </w:r>
          </w:p>
          <w:p>
            <w:pPr>
              <w:spacing w:line="240" w:lineRule="auto"/>
              <w:rPr>
                <w:rFonts w:hint="eastAsia"/>
                <w:b/>
                <w:bCs/>
                <w:szCs w:val="21"/>
                <w:highlight w:val="none"/>
              </w:rPr>
            </w:pPr>
            <w:r>
              <w:rPr>
                <w:rFonts w:hint="eastAsia"/>
                <w:b/>
                <w:bCs/>
                <w:szCs w:val="21"/>
                <w:highlight w:val="none"/>
              </w:rPr>
              <w:t>7.7移液过滤模块1套</w:t>
            </w:r>
          </w:p>
          <w:p>
            <w:pPr>
              <w:spacing w:line="240" w:lineRule="auto"/>
              <w:rPr>
                <w:rFonts w:hint="eastAsia"/>
                <w:b/>
                <w:bCs/>
                <w:szCs w:val="21"/>
                <w:highlight w:val="none"/>
              </w:rPr>
            </w:pPr>
            <w:r>
              <w:rPr>
                <w:rFonts w:hint="eastAsia"/>
                <w:b/>
                <w:bCs/>
                <w:szCs w:val="21"/>
                <w:highlight w:val="none"/>
              </w:rPr>
              <w:t>7.8机械手3个</w:t>
            </w:r>
          </w:p>
          <w:p>
            <w:pPr>
              <w:spacing w:line="240" w:lineRule="auto"/>
              <w:rPr>
                <w:rFonts w:hint="eastAsia"/>
                <w:b/>
                <w:bCs/>
                <w:szCs w:val="21"/>
                <w:highlight w:val="none"/>
              </w:rPr>
            </w:pPr>
            <w:r>
              <w:rPr>
                <w:rFonts w:hint="eastAsia"/>
                <w:b/>
                <w:bCs/>
                <w:szCs w:val="21"/>
                <w:highlight w:val="none"/>
              </w:rPr>
              <w:t>7.9进样瓶进料器1套</w:t>
            </w:r>
          </w:p>
          <w:p>
            <w:pPr>
              <w:spacing w:line="240" w:lineRule="auto"/>
              <w:rPr>
                <w:rFonts w:hint="eastAsia"/>
                <w:b/>
                <w:bCs/>
                <w:szCs w:val="21"/>
                <w:highlight w:val="none"/>
              </w:rPr>
            </w:pPr>
            <w:r>
              <w:rPr>
                <w:rFonts w:hint="eastAsia"/>
                <w:b/>
                <w:bCs/>
                <w:szCs w:val="21"/>
                <w:highlight w:val="none"/>
              </w:rPr>
              <w:t>7.10工作台面1套</w:t>
            </w:r>
          </w:p>
          <w:p>
            <w:pPr>
              <w:spacing w:line="240" w:lineRule="auto"/>
              <w:rPr>
                <w:rFonts w:hint="eastAsia"/>
                <w:b/>
                <w:bCs/>
                <w:szCs w:val="21"/>
                <w:highlight w:val="none"/>
              </w:rPr>
            </w:pPr>
            <w:r>
              <w:rPr>
                <w:rFonts w:hint="eastAsia"/>
                <w:b/>
                <w:bCs/>
                <w:szCs w:val="21"/>
                <w:highlight w:val="none"/>
              </w:rPr>
              <w:t>7.11电控箱1个</w:t>
            </w:r>
          </w:p>
          <w:p>
            <w:pPr>
              <w:spacing w:line="240" w:lineRule="auto"/>
              <w:rPr>
                <w:rFonts w:hint="eastAsia"/>
                <w:b/>
                <w:bCs/>
                <w:szCs w:val="21"/>
                <w:highlight w:val="none"/>
              </w:rPr>
            </w:pPr>
            <w:r>
              <w:rPr>
                <w:rFonts w:hint="eastAsia"/>
                <w:b/>
                <w:bCs/>
                <w:szCs w:val="21"/>
                <w:highlight w:val="none"/>
              </w:rPr>
              <w:t>7.12控制主机1套</w:t>
            </w:r>
          </w:p>
          <w:p>
            <w:pPr>
              <w:spacing w:line="240" w:lineRule="auto"/>
              <w:rPr>
                <w:rFonts w:hint="eastAsia"/>
                <w:b/>
                <w:bCs/>
                <w:szCs w:val="21"/>
                <w:highlight w:val="none"/>
              </w:rPr>
            </w:pPr>
            <w:r>
              <w:rPr>
                <w:rFonts w:hint="eastAsia"/>
                <w:b/>
                <w:bCs/>
                <w:szCs w:val="21"/>
                <w:highlight w:val="none"/>
              </w:rPr>
              <w:t>7.13氮吹浓缩模块1套</w:t>
            </w:r>
          </w:p>
          <w:p>
            <w:pPr>
              <w:spacing w:line="240" w:lineRule="auto"/>
              <w:rPr>
                <w:rFonts w:hint="eastAsia"/>
                <w:b/>
                <w:bCs/>
                <w:szCs w:val="21"/>
                <w:highlight w:val="none"/>
              </w:rPr>
            </w:pPr>
            <w:r>
              <w:rPr>
                <w:rFonts w:hint="eastAsia"/>
                <w:b/>
                <w:bCs/>
                <w:szCs w:val="21"/>
                <w:highlight w:val="none"/>
              </w:rPr>
              <w:t>7.14 AGV小车1台</w:t>
            </w:r>
          </w:p>
          <w:p>
            <w:pPr>
              <w:spacing w:line="240" w:lineRule="auto"/>
              <w:rPr>
                <w:rFonts w:hint="eastAsia"/>
                <w:b/>
                <w:bCs/>
                <w:szCs w:val="21"/>
                <w:highlight w:val="none"/>
              </w:rPr>
            </w:pPr>
            <w:r>
              <w:rPr>
                <w:rFonts w:hint="eastAsia"/>
                <w:b/>
                <w:bCs/>
                <w:szCs w:val="21"/>
                <w:highlight w:val="none"/>
              </w:rPr>
              <w:t>7.15排气模块（废气）1套</w:t>
            </w:r>
          </w:p>
          <w:p>
            <w:pPr>
              <w:spacing w:line="240" w:lineRule="auto"/>
              <w:rPr>
                <w:rFonts w:hint="eastAsia"/>
                <w:b/>
                <w:bCs/>
                <w:szCs w:val="21"/>
                <w:highlight w:val="none"/>
              </w:rPr>
            </w:pPr>
            <w:r>
              <w:rPr>
                <w:rFonts w:hint="eastAsia"/>
                <w:b/>
                <w:bCs/>
                <w:szCs w:val="21"/>
                <w:highlight w:val="none"/>
              </w:rPr>
              <w:t>7.16集中控制软件1套</w:t>
            </w:r>
          </w:p>
        </w:tc>
        <w:tc>
          <w:tcPr>
            <w:tcW w:w="55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b/>
                <w:bCs/>
                <w:szCs w:val="21"/>
                <w:highlight w:val="none"/>
              </w:rPr>
            </w:pPr>
            <w:r>
              <w:rPr>
                <w:rFonts w:hint="eastAsia"/>
                <w:b/>
                <w:bCs/>
                <w:szCs w:val="21"/>
                <w:highlight w:val="none"/>
              </w:rPr>
              <w:t>★</w:t>
            </w:r>
          </w:p>
        </w:tc>
      </w:tr>
    </w:tbl>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cs="Times New Roman"/>
          <w:b/>
          <w:bCs/>
          <w:kern w:val="2"/>
          <w:szCs w:val="21"/>
          <w:highlight w:val="none"/>
        </w:rPr>
        <w:t>1</w:t>
      </w:r>
      <w:r>
        <w:rPr>
          <w:rFonts w:hint="eastAsia" w:cs="Times New Roman"/>
          <w:b/>
          <w:bCs/>
          <w:kern w:val="2"/>
          <w:szCs w:val="21"/>
          <w:highlight w:val="none"/>
        </w:rPr>
        <w:t>.</w:t>
      </w:r>
      <w:r>
        <w:rPr>
          <w:rFonts w:cs="Times New Roman"/>
          <w:b/>
          <w:bCs/>
          <w:kern w:val="2"/>
          <w:szCs w:val="21"/>
          <w:highlight w:val="none"/>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cs="Times New Roman"/>
          <w:b/>
          <w:bCs/>
          <w:kern w:val="2"/>
          <w:szCs w:val="21"/>
          <w:highlight w:val="none"/>
        </w:rPr>
        <w:t>2</w:t>
      </w:r>
      <w:r>
        <w:rPr>
          <w:rFonts w:hint="eastAsia" w:cs="Times New Roman"/>
          <w:b/>
          <w:bCs/>
          <w:kern w:val="2"/>
          <w:szCs w:val="21"/>
          <w:highlight w:val="none"/>
        </w:rPr>
        <w:t>.技术参数要求</w:t>
      </w:r>
      <w:r>
        <w:rPr>
          <w:rFonts w:cs="Times New Roman"/>
          <w:b/>
          <w:bCs/>
          <w:kern w:val="2"/>
          <w:szCs w:val="21"/>
          <w:highlight w:val="none"/>
        </w:rPr>
        <w:t>中，用</w:t>
      </w:r>
      <w:r>
        <w:rPr>
          <w:rFonts w:cs="Times New Roman"/>
          <w:b/>
          <w:bCs/>
          <w:color w:val="FF0000"/>
          <w:kern w:val="2"/>
          <w:szCs w:val="21"/>
          <w:highlight w:val="none"/>
        </w:rPr>
        <w:t>红色加粗字体</w:t>
      </w:r>
      <w:r>
        <w:rPr>
          <w:rFonts w:cs="Times New Roman"/>
          <w:b/>
          <w:bCs/>
          <w:kern w:val="2"/>
          <w:szCs w:val="21"/>
          <w:highlight w:val="none"/>
        </w:rPr>
        <w:t>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3.备注为“标题”的</w:t>
      </w:r>
      <w:r>
        <w:rPr>
          <w:rFonts w:hint="eastAsia" w:cs="Times New Roman"/>
          <w:b/>
          <w:bCs/>
          <w:kern w:val="2"/>
          <w:szCs w:val="21"/>
          <w:highlight w:val="none"/>
          <w:lang w:val="en-US" w:eastAsia="zh-CN"/>
        </w:rPr>
        <w:t>技术参数内容</w:t>
      </w:r>
      <w:r>
        <w:rPr>
          <w:rFonts w:hint="eastAsia" w:cs="Times New Roman"/>
          <w:b/>
          <w:bCs/>
          <w:kern w:val="2"/>
          <w:szCs w:val="21"/>
          <w:highlight w:val="none"/>
        </w:rPr>
        <w:t>不参与评分。</w:t>
      </w:r>
    </w:p>
    <w:p>
      <w:pPr>
        <w:numPr>
          <w:ilvl w:val="0"/>
          <w:numId w:val="2"/>
        </w:numPr>
        <w:adjustRightInd/>
        <w:snapToGrid/>
        <w:spacing w:before="280" w:after="290" w:line="377" w:lineRule="auto"/>
        <w:jc w:val="left"/>
        <w:outlineLvl w:val="2"/>
        <w:rPr>
          <w:rFonts w:hint="eastAsia"/>
          <w:b/>
          <w:sz w:val="24"/>
          <w:highlight w:val="none"/>
        </w:rPr>
      </w:pPr>
      <w:bookmarkStart w:id="47" w:name="_Toc151386157"/>
      <w:bookmarkStart w:id="48" w:name="_Toc150960247"/>
      <w:bookmarkStart w:id="49" w:name="_Toc8996"/>
      <w:r>
        <w:rPr>
          <w:rFonts w:hint="eastAsia"/>
          <w:b/>
          <w:sz w:val="24"/>
          <w:highlight w:val="none"/>
        </w:rPr>
        <w:t>商务要求</w:t>
      </w:r>
      <w:bookmarkEnd w:id="47"/>
      <w:bookmarkEnd w:id="48"/>
      <w:bookmarkEnd w:id="49"/>
    </w:p>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w:t>
      </w:r>
      <w:r>
        <w:rPr>
          <w:rFonts w:cs="Times New Roman"/>
          <w:kern w:val="2"/>
          <w:szCs w:val="21"/>
          <w:highlight w:val="none"/>
        </w:rPr>
        <w:t>.</w:t>
      </w:r>
      <w:r>
        <w:rPr>
          <w:rFonts w:hint="eastAsia" w:cs="Times New Roman"/>
          <w:kern w:val="2"/>
          <w:szCs w:val="21"/>
          <w:highlight w:val="none"/>
        </w:rPr>
        <w:t>签定合同日期：自中标(成交)通知书发出之日起30日内。</w:t>
      </w:r>
    </w:p>
    <w:p>
      <w:pPr>
        <w:widowControl w:val="0"/>
        <w:shd w:val="clear" w:color="auto" w:fill="auto"/>
        <w:tabs>
          <w:tab w:val="clear" w:pos="426"/>
        </w:tabs>
        <w:adjustRightInd/>
        <w:snapToGrid/>
        <w:spacing w:line="240" w:lineRule="auto"/>
        <w:ind w:firstLine="422" w:firstLineChars="200"/>
        <w:rPr>
          <w:rFonts w:hint="eastAsia" w:cs="Times New Roman"/>
          <w:kern w:val="2"/>
          <w:szCs w:val="21"/>
          <w:highlight w:val="none"/>
        </w:rPr>
      </w:pPr>
      <w:r>
        <w:rPr>
          <w:rFonts w:hint="eastAsia" w:cs="Times New Roman"/>
          <w:b/>
          <w:bCs/>
          <w:kern w:val="2"/>
          <w:szCs w:val="21"/>
          <w:highlight w:val="none"/>
        </w:rPr>
        <w:t>★2.交货期：合同签订后90日内完成交货。</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★3.交货地点：深圳市福田区福强路1011号深圳海关福强路办公区A栋指定地点。</w:t>
      </w:r>
    </w:p>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4</w:t>
      </w:r>
      <w:r>
        <w:rPr>
          <w:rFonts w:cs="Times New Roman"/>
          <w:kern w:val="2"/>
          <w:szCs w:val="21"/>
          <w:highlight w:val="none"/>
        </w:rPr>
        <w:t>.</w:t>
      </w:r>
      <w:r>
        <w:rPr>
          <w:rFonts w:hint="eastAsia" w:cs="Times New Roman"/>
          <w:kern w:val="2"/>
          <w:szCs w:val="21"/>
          <w:highlight w:val="none"/>
        </w:rPr>
        <w:t>售后服务要求：</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★（1）质保期：验收合格后，质保期3年，</w:t>
      </w:r>
      <w:r>
        <w:rPr>
          <w:rFonts w:hint="eastAsia"/>
          <w:b/>
          <w:bCs/>
          <w:szCs w:val="21"/>
          <w:highlight w:val="none"/>
          <w:lang w:bidi="ar"/>
        </w:rPr>
        <w:t>包含整机及所有配件</w:t>
      </w:r>
      <w:r>
        <w:rPr>
          <w:rFonts w:hint="eastAsia" w:cs="Times New Roman"/>
          <w:b/>
          <w:bCs/>
          <w:kern w:val="2"/>
          <w:szCs w:val="21"/>
          <w:highlight w:val="none"/>
        </w:rPr>
        <w:t>，保修期外，能更及时地为用户提供备品备件。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★（2）维修响应：</w:t>
      </w:r>
      <w:r>
        <w:rPr>
          <w:rFonts w:hint="eastAsia"/>
          <w:b/>
          <w:bCs/>
          <w:highlight w:val="none"/>
        </w:rPr>
        <w:t>供应商提供三年7*24小时的技术支持与售后服务，提供专线电话支持服务，2小时内响应，保证48小时内到达现场并解决故障，设备保修期时间从签署设备验收合格起计算。</w:t>
      </w:r>
    </w:p>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（3）培训2人直至能完全独立操作。</w:t>
      </w:r>
    </w:p>
    <w:p>
      <w:pPr>
        <w:widowControl w:val="0"/>
        <w:shd w:val="clear" w:color="auto" w:fill="auto"/>
        <w:tabs>
          <w:tab w:val="clear" w:pos="426"/>
        </w:tabs>
        <w:adjustRightInd/>
        <w:snapToGrid/>
        <w:spacing w:line="240" w:lineRule="auto"/>
        <w:ind w:firstLine="420" w:firstLineChars="200"/>
        <w:rPr>
          <w:rFonts w:hint="eastAsia" w:cs="Times New Roman"/>
          <w:b/>
          <w:bCs/>
          <w:kern w:val="2"/>
          <w:szCs w:val="21"/>
          <w:highlight w:val="none"/>
        </w:rPr>
      </w:pPr>
      <w:r>
        <w:rPr>
          <w:rFonts w:hint="eastAsia" w:cs="Times New Roman"/>
          <w:kern w:val="2"/>
          <w:szCs w:val="21"/>
          <w:highlight w:val="none"/>
        </w:rPr>
        <w:t>（4）其他要求：投标报价包含所有货物运输、安装调试、使用培训等费用。</w:t>
      </w:r>
    </w:p>
    <w:p>
      <w:pPr>
        <w:widowControl w:val="0"/>
        <w:shd w:val="clear" w:color="auto" w:fill="auto"/>
        <w:adjustRightInd/>
        <w:snapToGrid/>
        <w:spacing w:line="240" w:lineRule="auto"/>
        <w:ind w:firstLine="422" w:firstLineChars="200"/>
        <w:rPr>
          <w:rFonts w:hint="eastAsia"/>
          <w:b/>
          <w:bCs/>
          <w:highlight w:val="none"/>
        </w:rPr>
      </w:pPr>
      <w:r>
        <w:rPr>
          <w:rFonts w:hint="eastAsia" w:cs="Times New Roman"/>
          <w:b/>
          <w:bCs/>
          <w:kern w:val="2"/>
          <w:szCs w:val="21"/>
          <w:highlight w:val="none"/>
        </w:rPr>
        <w:t>★5.货物</w:t>
      </w:r>
      <w:r>
        <w:rPr>
          <w:rFonts w:hint="eastAsia" w:cs="Times New Roman"/>
          <w:b/>
          <w:bCs/>
          <w:kern w:val="2"/>
          <w:szCs w:val="21"/>
          <w:highlight w:val="none"/>
          <w:lang w:eastAsia="zh-TW"/>
        </w:rPr>
        <w:t>验收</w:t>
      </w:r>
      <w:r>
        <w:rPr>
          <w:rFonts w:hint="eastAsia" w:cs="Times New Roman"/>
          <w:b/>
          <w:bCs/>
          <w:kern w:val="2"/>
          <w:szCs w:val="21"/>
          <w:highlight w:val="none"/>
        </w:rPr>
        <w:t>：</w:t>
      </w:r>
    </w:p>
    <w:p>
      <w:pPr>
        <w:shd w:val="clear" w:color="auto" w:fill="auto"/>
        <w:tabs>
          <w:tab w:val="clear" w:pos="426"/>
        </w:tabs>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（1）货物运至</w:t>
      </w:r>
      <w:r>
        <w:rPr>
          <w:rFonts w:hint="eastAsia" w:cs="Times New Roman"/>
          <w:b/>
          <w:bCs/>
          <w:kern w:val="2"/>
          <w:szCs w:val="21"/>
          <w:highlight w:val="none"/>
        </w:rPr>
        <w:t>采购人</w:t>
      </w:r>
      <w:r>
        <w:rPr>
          <w:rFonts w:hint="eastAsia" w:cs="Times New Roman"/>
          <w:b/>
          <w:bCs/>
          <w:kern w:val="2"/>
          <w:szCs w:val="21"/>
          <w:highlight w:val="none"/>
          <w:lang w:eastAsia="zh-TW"/>
        </w:rPr>
        <w:t>指定地点后，双方应派人员按照本合同规定对货物进行验收，</w:t>
      </w:r>
      <w:r>
        <w:rPr>
          <w:rFonts w:hint="eastAsia" w:cs="Times New Roman"/>
          <w:b/>
          <w:bCs/>
          <w:kern w:val="2"/>
          <w:szCs w:val="21"/>
          <w:highlight w:val="none"/>
        </w:rPr>
        <w:t>中标人</w:t>
      </w:r>
      <w:r>
        <w:rPr>
          <w:rFonts w:hint="eastAsia" w:cs="Times New Roman"/>
          <w:b/>
          <w:bCs/>
          <w:kern w:val="2"/>
          <w:szCs w:val="21"/>
          <w:highlight w:val="none"/>
          <w:lang w:eastAsia="zh-TW"/>
        </w:rPr>
        <w:t>应提供交货清单等文件供</w:t>
      </w:r>
      <w:r>
        <w:rPr>
          <w:rFonts w:hint="eastAsia" w:cs="Times New Roman"/>
          <w:b/>
          <w:bCs/>
          <w:kern w:val="2"/>
          <w:szCs w:val="21"/>
          <w:highlight w:val="none"/>
        </w:rPr>
        <w:t>采购人</w:t>
      </w:r>
      <w:r>
        <w:rPr>
          <w:rFonts w:hint="eastAsia" w:cs="Times New Roman"/>
          <w:b/>
          <w:bCs/>
          <w:kern w:val="2"/>
          <w:szCs w:val="21"/>
          <w:highlight w:val="none"/>
          <w:lang w:eastAsia="zh-TW"/>
        </w:rPr>
        <w:t>审查，</w:t>
      </w:r>
      <w:r>
        <w:rPr>
          <w:rFonts w:hint="eastAsia" w:cs="Times New Roman"/>
          <w:b/>
          <w:bCs/>
          <w:kern w:val="2"/>
          <w:szCs w:val="21"/>
          <w:highlight w:val="none"/>
        </w:rPr>
        <w:t>采购人</w:t>
      </w:r>
      <w:r>
        <w:rPr>
          <w:rFonts w:hint="eastAsia" w:cs="Times New Roman"/>
          <w:b/>
          <w:bCs/>
          <w:kern w:val="2"/>
          <w:szCs w:val="21"/>
          <w:highlight w:val="none"/>
          <w:lang w:eastAsia="zh-TW"/>
        </w:rPr>
        <w:t>将按合同清单进行规格、数量、外观的检查。</w:t>
      </w:r>
    </w:p>
    <w:p>
      <w:pPr>
        <w:shd w:val="clear" w:color="auto" w:fill="auto"/>
        <w:tabs>
          <w:tab w:val="clear" w:pos="426"/>
        </w:tabs>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（2）收货后</w:t>
      </w:r>
      <w:r>
        <w:rPr>
          <w:rFonts w:hint="eastAsia" w:cs="Times New Roman"/>
          <w:b/>
          <w:bCs/>
          <w:kern w:val="2"/>
          <w:szCs w:val="21"/>
          <w:highlight w:val="none"/>
        </w:rPr>
        <w:t>30</w:t>
      </w:r>
      <w:r>
        <w:rPr>
          <w:rFonts w:hint="eastAsia" w:cs="Times New Roman"/>
          <w:b/>
          <w:bCs/>
          <w:kern w:val="2"/>
          <w:szCs w:val="21"/>
          <w:highlight w:val="none"/>
          <w:lang w:eastAsia="zh-TW"/>
        </w:rPr>
        <w:t>个工作日内</w:t>
      </w:r>
      <w:r>
        <w:rPr>
          <w:rFonts w:hint="eastAsia" w:cs="Times New Roman"/>
          <w:b/>
          <w:bCs/>
          <w:kern w:val="2"/>
          <w:szCs w:val="21"/>
          <w:highlight w:val="none"/>
        </w:rPr>
        <w:t>采购人</w:t>
      </w:r>
      <w:r>
        <w:rPr>
          <w:rFonts w:hint="eastAsia" w:cs="Times New Roman"/>
          <w:b/>
          <w:bCs/>
          <w:kern w:val="2"/>
          <w:szCs w:val="21"/>
          <w:highlight w:val="none"/>
          <w:lang w:eastAsia="zh-TW"/>
        </w:rPr>
        <w:t>与</w:t>
      </w:r>
      <w:r>
        <w:rPr>
          <w:rFonts w:hint="eastAsia" w:cs="Times New Roman"/>
          <w:b/>
          <w:bCs/>
          <w:kern w:val="2"/>
          <w:szCs w:val="21"/>
          <w:highlight w:val="none"/>
        </w:rPr>
        <w:t>中标人</w:t>
      </w:r>
      <w:r>
        <w:rPr>
          <w:rFonts w:hint="eastAsia" w:cs="Times New Roman"/>
          <w:b/>
          <w:bCs/>
          <w:kern w:val="2"/>
          <w:szCs w:val="21"/>
          <w:highlight w:val="none"/>
          <w:lang w:eastAsia="zh-TW"/>
        </w:rPr>
        <w:t>进行到货验收工作。如验收合格，</w:t>
      </w:r>
      <w:r>
        <w:rPr>
          <w:rFonts w:hint="eastAsia" w:cs="Times New Roman"/>
          <w:b/>
          <w:bCs/>
          <w:kern w:val="2"/>
          <w:szCs w:val="21"/>
          <w:highlight w:val="none"/>
        </w:rPr>
        <w:t>采购人</w:t>
      </w:r>
      <w:r>
        <w:rPr>
          <w:rFonts w:hint="eastAsia" w:cs="Times New Roman"/>
          <w:b/>
          <w:bCs/>
          <w:kern w:val="2"/>
          <w:szCs w:val="21"/>
          <w:highlight w:val="none"/>
          <w:lang w:eastAsia="zh-TW"/>
        </w:rPr>
        <w:t>应及时履行验收手续，双方签署设备到货验收报告；如验收不合格，</w:t>
      </w:r>
      <w:r>
        <w:rPr>
          <w:rFonts w:hint="eastAsia" w:cs="Times New Roman"/>
          <w:b/>
          <w:bCs/>
          <w:kern w:val="2"/>
          <w:szCs w:val="21"/>
          <w:highlight w:val="none"/>
        </w:rPr>
        <w:t>采购人</w:t>
      </w:r>
      <w:r>
        <w:rPr>
          <w:rFonts w:hint="eastAsia" w:cs="Times New Roman"/>
          <w:b/>
          <w:bCs/>
          <w:kern w:val="2"/>
          <w:szCs w:val="21"/>
          <w:highlight w:val="none"/>
          <w:lang w:eastAsia="zh-TW"/>
        </w:rPr>
        <w:t>应以书面形式通知</w:t>
      </w:r>
      <w:r>
        <w:rPr>
          <w:rFonts w:hint="eastAsia" w:cs="Times New Roman"/>
          <w:b/>
          <w:bCs/>
          <w:kern w:val="2"/>
          <w:szCs w:val="21"/>
          <w:highlight w:val="none"/>
        </w:rPr>
        <w:t>中标人</w:t>
      </w:r>
      <w:r>
        <w:rPr>
          <w:rFonts w:hint="eastAsia" w:cs="Times New Roman"/>
          <w:b/>
          <w:bCs/>
          <w:kern w:val="2"/>
          <w:szCs w:val="21"/>
          <w:highlight w:val="none"/>
          <w:lang w:eastAsia="zh-TW"/>
        </w:rPr>
        <w:t>原因，</w:t>
      </w:r>
      <w:r>
        <w:rPr>
          <w:rFonts w:hint="eastAsia" w:cs="Times New Roman"/>
          <w:b/>
          <w:bCs/>
          <w:kern w:val="2"/>
          <w:szCs w:val="21"/>
          <w:highlight w:val="none"/>
        </w:rPr>
        <w:t>中标人</w:t>
      </w:r>
      <w:r>
        <w:rPr>
          <w:rFonts w:hint="eastAsia" w:cs="Times New Roman"/>
          <w:b/>
          <w:bCs/>
          <w:kern w:val="2"/>
          <w:szCs w:val="21"/>
          <w:highlight w:val="none"/>
          <w:lang w:eastAsia="zh-TW"/>
        </w:rPr>
        <w:t>收到通知后 10 个工作日内提供解决方案。</w:t>
      </w:r>
    </w:p>
    <w:p>
      <w:pPr>
        <w:shd w:val="clear" w:color="auto" w:fill="auto"/>
        <w:tabs>
          <w:tab w:val="clear" w:pos="426"/>
        </w:tabs>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（3）在验收工作中，双方应于现场依据本合同规定的验收依据共同对商品的数量、型号规格、技术性能指标等进行验证。发现数量不足或有质量、技术等问题，</w:t>
      </w:r>
      <w:r>
        <w:rPr>
          <w:rFonts w:hint="eastAsia" w:cs="Times New Roman"/>
          <w:b/>
          <w:bCs/>
          <w:kern w:val="2"/>
          <w:szCs w:val="21"/>
          <w:highlight w:val="none"/>
        </w:rPr>
        <w:t>中标人</w:t>
      </w:r>
      <w:r>
        <w:rPr>
          <w:rFonts w:hint="eastAsia" w:cs="Times New Roman"/>
          <w:b/>
          <w:bCs/>
          <w:kern w:val="2"/>
          <w:szCs w:val="21"/>
          <w:highlight w:val="none"/>
          <w:lang w:eastAsia="zh-TW"/>
        </w:rPr>
        <w:t>应按照合同要求采取补足、更换或退货等处理措施，并承担由此发生的一切费用和损失。</w:t>
      </w:r>
    </w:p>
    <w:p>
      <w:pPr>
        <w:shd w:val="clear" w:color="auto" w:fill="auto"/>
        <w:tabs>
          <w:tab w:val="clear" w:pos="426"/>
        </w:tabs>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（4）</w:t>
      </w:r>
      <w:r>
        <w:rPr>
          <w:b/>
          <w:bCs/>
          <w:color w:val="000000"/>
          <w:szCs w:val="21"/>
          <w:highlight w:val="none"/>
        </w:rPr>
        <w:t>涉及设备安装调试的，</w:t>
      </w:r>
      <w:r>
        <w:rPr>
          <w:rFonts w:hint="eastAsia"/>
          <w:b/>
          <w:bCs/>
          <w:color w:val="000000"/>
          <w:szCs w:val="21"/>
          <w:highlight w:val="none"/>
        </w:rPr>
        <w:t>中标人</w:t>
      </w:r>
      <w:r>
        <w:rPr>
          <w:b/>
          <w:bCs/>
          <w:color w:val="000000"/>
          <w:szCs w:val="21"/>
          <w:highlight w:val="none"/>
        </w:rPr>
        <w:t>负责在</w:t>
      </w:r>
      <w:r>
        <w:rPr>
          <w:rFonts w:hint="eastAsia"/>
          <w:b/>
          <w:bCs/>
          <w:color w:val="000000"/>
          <w:szCs w:val="21"/>
          <w:highlight w:val="none"/>
        </w:rPr>
        <w:t>采购人</w:t>
      </w:r>
      <w:r>
        <w:rPr>
          <w:b/>
          <w:bCs/>
          <w:color w:val="000000"/>
          <w:szCs w:val="21"/>
          <w:highlight w:val="none"/>
        </w:rPr>
        <w:t>配合下完成所供设备安装调试并保证与用户原有设备互联互通，有关技术问题由</w:t>
      </w:r>
      <w:r>
        <w:rPr>
          <w:rFonts w:hint="eastAsia"/>
          <w:b/>
          <w:bCs/>
          <w:color w:val="000000"/>
          <w:szCs w:val="21"/>
          <w:highlight w:val="none"/>
        </w:rPr>
        <w:t>中标人</w:t>
      </w:r>
      <w:r>
        <w:rPr>
          <w:b/>
          <w:bCs/>
          <w:color w:val="000000"/>
          <w:szCs w:val="21"/>
          <w:highlight w:val="none"/>
        </w:rPr>
        <w:t>和制造商协同解决。安装调试后，双方签署设备安装调试验收报告</w:t>
      </w:r>
      <w:r>
        <w:rPr>
          <w:rFonts w:hint="eastAsia" w:hAnsi="Times New Roman" w:cs="微软雅黑"/>
          <w:b/>
          <w:bCs/>
          <w:color w:val="000000" w:themeColor="text1"/>
          <w:szCs w:val="21"/>
          <w:highlight w:val="none"/>
          <w14:textFill>
            <w14:solidFill>
              <w14:schemeClr w14:val="tx1"/>
            </w14:solidFill>
          </w14:textFill>
        </w:rPr>
        <w:t>。</w:t>
      </w:r>
    </w:p>
    <w:p>
      <w:pPr>
        <w:shd w:val="clear" w:color="auto" w:fill="auto"/>
        <w:tabs>
          <w:tab w:val="clear" w:pos="426"/>
        </w:tabs>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（5）</w:t>
      </w:r>
      <w:r>
        <w:rPr>
          <w:rFonts w:hint="eastAsia" w:cs="Times New Roman"/>
          <w:b/>
          <w:bCs/>
          <w:kern w:val="2"/>
          <w:szCs w:val="21"/>
          <w:highlight w:val="none"/>
        </w:rPr>
        <w:t>采购人</w:t>
      </w:r>
      <w:r>
        <w:rPr>
          <w:rFonts w:hint="eastAsia" w:cs="Times New Roman"/>
          <w:b/>
          <w:bCs/>
          <w:kern w:val="2"/>
          <w:szCs w:val="21"/>
          <w:highlight w:val="none"/>
          <w:lang w:eastAsia="zh-TW"/>
        </w:rPr>
        <w:t>认为必要时，对大型或者复杂的货物采购项目，可以邀请国家认可的质量检测机构参加验收工作，相关验收意见作为验收报告的参考资料，相关费用由</w:t>
      </w:r>
      <w:r>
        <w:rPr>
          <w:rFonts w:hint="eastAsia" w:cs="Times New Roman"/>
          <w:b/>
          <w:bCs/>
          <w:kern w:val="2"/>
          <w:szCs w:val="21"/>
          <w:highlight w:val="none"/>
        </w:rPr>
        <w:t>中标人</w:t>
      </w:r>
      <w:r>
        <w:rPr>
          <w:rFonts w:hint="eastAsia" w:cs="Times New Roman"/>
          <w:b/>
          <w:bCs/>
          <w:kern w:val="2"/>
          <w:szCs w:val="21"/>
          <w:highlight w:val="none"/>
          <w:lang w:eastAsia="zh-TW"/>
        </w:rPr>
        <w:t>承担。</w:t>
      </w:r>
    </w:p>
    <w:p>
      <w:pPr>
        <w:shd w:val="clear" w:color="auto" w:fill="auto"/>
        <w:tabs>
          <w:tab w:val="clear" w:pos="426"/>
        </w:tabs>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（6）验收标准以双方达成的对质量和技术标准的约定、</w:t>
      </w:r>
      <w:r>
        <w:rPr>
          <w:rFonts w:hint="eastAsia" w:cs="Times New Roman"/>
          <w:b/>
          <w:bCs/>
          <w:kern w:val="2"/>
          <w:szCs w:val="21"/>
          <w:highlight w:val="none"/>
        </w:rPr>
        <w:t>中标人</w:t>
      </w:r>
      <w:r>
        <w:rPr>
          <w:rFonts w:hint="eastAsia" w:cs="Times New Roman"/>
          <w:b/>
          <w:bCs/>
          <w:kern w:val="2"/>
          <w:szCs w:val="21"/>
          <w:highlight w:val="none"/>
          <w:lang w:eastAsia="zh-TW"/>
        </w:rPr>
        <w:t>承诺的质量和技术标准、国家或行业规定的相关质量和技术标准中最高者为准，且应充分满足</w:t>
      </w:r>
      <w:r>
        <w:rPr>
          <w:rFonts w:hint="eastAsia" w:cs="Times New Roman"/>
          <w:b/>
          <w:bCs/>
          <w:kern w:val="2"/>
          <w:szCs w:val="21"/>
          <w:highlight w:val="none"/>
        </w:rPr>
        <w:t>采购人</w:t>
      </w:r>
      <w:r>
        <w:rPr>
          <w:rFonts w:hint="eastAsia" w:cs="Times New Roman"/>
          <w:b/>
          <w:bCs/>
          <w:kern w:val="2"/>
          <w:szCs w:val="21"/>
          <w:highlight w:val="none"/>
          <w:lang w:eastAsia="zh-TW"/>
        </w:rPr>
        <w:t xml:space="preserve">使用要求。 </w:t>
      </w:r>
    </w:p>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6.其他要求：</w:t>
      </w:r>
    </w:p>
    <w:p>
      <w:pPr>
        <w:widowControl w:val="0"/>
        <w:shd w:val="clear" w:color="auto" w:fill="auto"/>
        <w:tabs>
          <w:tab w:val="clear" w:pos="426"/>
        </w:tabs>
        <w:adjustRightInd/>
        <w:snapToGrid/>
        <w:spacing w:line="240" w:lineRule="auto"/>
        <w:ind w:firstLine="420" w:firstLineChars="200"/>
        <w:rPr>
          <w:rFonts w:hint="eastAsia" w:cs="Times New Roman"/>
          <w:kern w:val="2"/>
          <w:szCs w:val="21"/>
          <w:highlight w:val="none"/>
        </w:rPr>
      </w:pPr>
      <w:r>
        <w:rPr>
          <w:rFonts w:hint="eastAsia" w:cs="Times New Roman"/>
          <w:kern w:val="2"/>
          <w:szCs w:val="21"/>
          <w:highlight w:val="none"/>
        </w:rPr>
        <w:t>（1）除采购人事先书面同意外，中标人不得部分或全部转让其应履行的合同项下的义务。</w:t>
      </w:r>
    </w:p>
    <w:p>
      <w:pPr>
        <w:widowControl w:val="0"/>
        <w:shd w:val="clear" w:color="auto" w:fill="auto"/>
        <w:tabs>
          <w:tab w:val="clear" w:pos="426"/>
        </w:tabs>
        <w:adjustRightInd/>
        <w:snapToGrid/>
        <w:spacing w:line="240" w:lineRule="auto"/>
        <w:ind w:left="420" w:leftChars="200"/>
        <w:rPr>
          <w:rFonts w:hint="eastAsia" w:cs="Times New Roman"/>
          <w:b/>
          <w:bCs/>
          <w:kern w:val="2"/>
          <w:szCs w:val="21"/>
          <w:highlight w:val="none"/>
        </w:rPr>
      </w:pPr>
      <w:r>
        <w:rPr>
          <w:rFonts w:hint="eastAsia" w:cs="Times New Roman"/>
          <w:kern w:val="2"/>
          <w:szCs w:val="21"/>
          <w:highlight w:val="none"/>
        </w:rPr>
        <w:t>（2）报价要求：报价须包含运输费等所有税费，中标人不得再收取报价之外的其他任何费用。</w:t>
      </w:r>
      <w:r>
        <w:rPr>
          <w:rFonts w:hint="eastAsia" w:cs="Times New Roman"/>
          <w:kern w:val="2"/>
          <w:szCs w:val="21"/>
          <w:highlight w:val="none"/>
        </w:rPr>
        <w:br w:type="textWrapping"/>
      </w:r>
      <w:r>
        <w:rPr>
          <w:rFonts w:hint="eastAsia" w:cs="Times New Roman"/>
          <w:b/>
          <w:bCs/>
          <w:kern w:val="2"/>
          <w:szCs w:val="21"/>
          <w:highlight w:val="none"/>
        </w:rPr>
        <w:t>★6.付款方式：</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w:t>
      </w:r>
      <w:r>
        <w:rPr>
          <w:rFonts w:hint="eastAsia" w:cs="Times New Roman"/>
          <w:b/>
          <w:bCs/>
          <w:kern w:val="2"/>
          <w:szCs w:val="21"/>
          <w:highlight w:val="none"/>
        </w:rPr>
        <w:t>1</w:t>
      </w:r>
      <w:r>
        <w:rPr>
          <w:rFonts w:hint="eastAsia" w:cs="Times New Roman"/>
          <w:b/>
          <w:bCs/>
          <w:kern w:val="2"/>
          <w:szCs w:val="21"/>
          <w:highlight w:val="none"/>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w:t>
      </w:r>
      <w:r>
        <w:rPr>
          <w:rFonts w:hint="eastAsia" w:cs="Times New Roman"/>
          <w:b/>
          <w:bCs/>
          <w:kern w:val="2"/>
          <w:szCs w:val="21"/>
          <w:highlight w:val="none"/>
        </w:rPr>
        <w:t>2</w:t>
      </w:r>
      <w:r>
        <w:rPr>
          <w:rFonts w:hint="eastAsia" w:cs="Times New Roman"/>
          <w:b/>
          <w:bCs/>
          <w:kern w:val="2"/>
          <w:szCs w:val="21"/>
          <w:highlight w:val="none"/>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中标人提交单据：合同(正文部分复印件）、中标通知书（或成交通知书复印件）、发票（原件）、设备到</w:t>
      </w:r>
      <w:r>
        <w:rPr>
          <w:rFonts w:hint="eastAsia" w:cs="Times New Roman"/>
          <w:b/>
          <w:bCs/>
          <w:kern w:val="2"/>
          <w:szCs w:val="21"/>
          <w:highlight w:val="none"/>
          <w:lang w:val="en-US" w:eastAsia="zh-CN"/>
        </w:rPr>
        <w:t>货</w:t>
      </w:r>
      <w:r>
        <w:rPr>
          <w:rFonts w:hint="eastAsia" w:cs="Times New Roman"/>
          <w:b/>
          <w:bCs/>
          <w:kern w:val="2"/>
          <w:szCs w:val="21"/>
          <w:highlight w:val="none"/>
          <w:lang w:eastAsia="zh-TW"/>
        </w:rPr>
        <w:t>签收单（复印件）。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w:t>
      </w:r>
      <w:r>
        <w:rPr>
          <w:rFonts w:hint="eastAsia" w:cs="Times New Roman"/>
          <w:b/>
          <w:bCs/>
          <w:kern w:val="2"/>
          <w:szCs w:val="21"/>
          <w:highlight w:val="none"/>
        </w:rPr>
        <w:t>3</w:t>
      </w:r>
      <w:r>
        <w:rPr>
          <w:rFonts w:hint="eastAsia" w:cs="Times New Roman"/>
          <w:b/>
          <w:bCs/>
          <w:kern w:val="2"/>
          <w:szCs w:val="21"/>
          <w:highlight w:val="none"/>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lang w:eastAsia="zh-TW"/>
        </w:rPr>
      </w:pPr>
      <w:r>
        <w:rPr>
          <w:rFonts w:hint="eastAsia" w:cs="Times New Roman"/>
          <w:b/>
          <w:bCs/>
          <w:kern w:val="2"/>
          <w:szCs w:val="21"/>
          <w:highlight w:val="none"/>
          <w:lang w:eastAsia="zh-TW"/>
        </w:rPr>
        <w:t>（</w:t>
      </w:r>
      <w:r>
        <w:rPr>
          <w:rFonts w:hint="eastAsia" w:cs="Times New Roman"/>
          <w:b/>
          <w:bCs/>
          <w:kern w:val="2"/>
          <w:szCs w:val="21"/>
          <w:highlight w:val="none"/>
        </w:rPr>
        <w:t>4</w:t>
      </w:r>
      <w:r>
        <w:rPr>
          <w:rFonts w:hint="eastAsia" w:cs="Times New Roman"/>
          <w:b/>
          <w:bCs/>
          <w:kern w:val="2"/>
          <w:szCs w:val="21"/>
          <w:highlight w:val="none"/>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left="420" w:leftChars="200"/>
        <w:rPr>
          <w:rFonts w:hint="eastAsia" w:cs="Times New Roman"/>
          <w:b/>
          <w:bCs/>
          <w:kern w:val="2"/>
          <w:szCs w:val="21"/>
          <w:highlight w:val="none"/>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highlight w:val="none"/>
        </w:rPr>
      </w:pPr>
    </w:p>
    <w:p>
      <w:pPr>
        <w:widowControl w:val="0"/>
        <w:shd w:val="clear" w:color="auto" w:fill="auto"/>
        <w:tabs>
          <w:tab w:val="clear" w:pos="426"/>
        </w:tabs>
        <w:adjustRightInd/>
        <w:snapToGrid/>
        <w:spacing w:line="240" w:lineRule="auto"/>
        <w:ind w:left="420" w:leftChars="200"/>
        <w:rPr>
          <w:rFonts w:hint="eastAsia" w:cs="Times New Roman"/>
          <w:b/>
          <w:bCs/>
          <w:kern w:val="2"/>
          <w:szCs w:val="21"/>
          <w:highlight w:val="none"/>
        </w:rPr>
      </w:pPr>
      <w:r>
        <w:rPr>
          <w:rFonts w:hint="eastAsia" w:cs="Times New Roman"/>
          <w:b/>
          <w:bCs/>
          <w:kern w:val="2"/>
          <w:szCs w:val="21"/>
          <w:highlight w:val="none"/>
        </w:rPr>
        <w:t>备注：</w:t>
      </w:r>
    </w:p>
    <w:p>
      <w:pPr>
        <w:widowControl w:val="0"/>
        <w:shd w:val="clear" w:color="auto" w:fill="auto"/>
        <w:tabs>
          <w:tab w:val="clear" w:pos="426"/>
        </w:tabs>
        <w:adjustRightInd/>
        <w:snapToGrid/>
        <w:spacing w:line="240" w:lineRule="auto"/>
        <w:ind w:firstLine="422" w:firstLineChars="200"/>
        <w:rPr>
          <w:rFonts w:hint="eastAsia" w:cs="Times New Roman"/>
          <w:b/>
          <w:bCs/>
          <w:kern w:val="2"/>
          <w:szCs w:val="21"/>
          <w:highlight w:val="none"/>
        </w:rPr>
      </w:pPr>
      <w:r>
        <w:rPr>
          <w:rFonts w:hint="eastAsia" w:cs="Times New Roman"/>
          <w:b/>
          <w:bCs/>
          <w:kern w:val="2"/>
          <w:szCs w:val="21"/>
          <w:highlight w:val="none"/>
        </w:rPr>
        <w:t>1.商务</w:t>
      </w:r>
      <w:r>
        <w:rPr>
          <w:rFonts w:cs="Times New Roman"/>
          <w:b/>
          <w:bCs/>
          <w:kern w:val="2"/>
          <w:szCs w:val="21"/>
          <w:highlight w:val="none"/>
        </w:rPr>
        <w:t>要求分为一般</w:t>
      </w:r>
      <w:r>
        <w:rPr>
          <w:rFonts w:hint="eastAsia" w:cs="Times New Roman"/>
          <w:b/>
          <w:bCs/>
          <w:kern w:val="2"/>
          <w:szCs w:val="21"/>
          <w:highlight w:val="none"/>
        </w:rPr>
        <w:t>商务</w:t>
      </w:r>
      <w:r>
        <w:rPr>
          <w:rFonts w:cs="Times New Roman"/>
          <w:b/>
          <w:bCs/>
          <w:kern w:val="2"/>
          <w:szCs w:val="21"/>
          <w:highlight w:val="none"/>
        </w:rPr>
        <w:t>要求、重要</w:t>
      </w:r>
      <w:r>
        <w:rPr>
          <w:rFonts w:hint="eastAsia" w:cs="Times New Roman"/>
          <w:b/>
          <w:bCs/>
          <w:kern w:val="2"/>
          <w:szCs w:val="21"/>
          <w:highlight w:val="none"/>
        </w:rPr>
        <w:t>商务</w:t>
      </w:r>
      <w:r>
        <w:rPr>
          <w:rFonts w:cs="Times New Roman"/>
          <w:b/>
          <w:bCs/>
          <w:kern w:val="2"/>
          <w:szCs w:val="21"/>
          <w:highlight w:val="none"/>
        </w:rPr>
        <w:t>要求（以“▲”标注）和实质性</w:t>
      </w:r>
      <w:r>
        <w:rPr>
          <w:rFonts w:hint="eastAsia" w:cs="Times New Roman"/>
          <w:b/>
          <w:bCs/>
          <w:kern w:val="2"/>
          <w:szCs w:val="21"/>
          <w:highlight w:val="none"/>
        </w:rPr>
        <w:t>商务</w:t>
      </w:r>
      <w:r>
        <w:rPr>
          <w:rFonts w:cs="Times New Roman"/>
          <w:b/>
          <w:bCs/>
          <w:kern w:val="2"/>
          <w:szCs w:val="21"/>
          <w:highlight w:val="none"/>
        </w:rPr>
        <w:t>要求（以</w:t>
      </w:r>
      <w:r>
        <w:rPr>
          <w:rFonts w:hint="eastAsia" w:cs="Times New Roman"/>
          <w:b/>
          <w:bCs/>
          <w:kern w:val="2"/>
          <w:szCs w:val="21"/>
          <w:highlight w:val="none"/>
        </w:rPr>
        <w:t>“</w:t>
      </w:r>
      <w:r>
        <w:rPr>
          <w:rFonts w:cs="Times New Roman"/>
          <w:b/>
          <w:bCs/>
          <w:kern w:val="2"/>
          <w:szCs w:val="21"/>
          <w:highlight w:val="none"/>
        </w:rPr>
        <w:t>★”标注）。一般商务要求和重要商务要求若出现不响应或负偏离，其综合评分的相关分数将予以扣减，但不作为投标无效条款。实质性商务要求（以</w:t>
      </w:r>
      <w:r>
        <w:rPr>
          <w:rFonts w:hint="eastAsia" w:cs="Times New Roman"/>
          <w:b/>
          <w:bCs/>
          <w:kern w:val="2"/>
          <w:szCs w:val="21"/>
          <w:highlight w:val="none"/>
        </w:rPr>
        <w:t>“</w:t>
      </w:r>
      <w:r>
        <w:rPr>
          <w:rFonts w:cs="Times New Roman"/>
          <w:b/>
          <w:bCs/>
          <w:kern w:val="2"/>
          <w:szCs w:val="21"/>
          <w:highlight w:val="none"/>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highlight w:val="none"/>
        </w:rPr>
      </w:pPr>
      <w:r>
        <w:rPr>
          <w:highlight w:val="none"/>
        </w:rPr>
        <w:br w:type="page"/>
      </w:r>
    </w:p>
    <w:p>
      <w:pPr>
        <w:pStyle w:val="62"/>
        <w:rPr>
          <w:highlight w:val="none"/>
        </w:rPr>
      </w:pPr>
      <w:bookmarkStart w:id="50" w:name="_Toc2525"/>
      <w:r>
        <w:rPr>
          <w:rFonts w:hint="eastAsia"/>
          <w:highlight w:val="none"/>
        </w:rPr>
        <w:t xml:space="preserve">第三章 </w:t>
      </w:r>
      <w:bookmarkEnd w:id="50"/>
      <w:r>
        <w:rPr>
          <w:rFonts w:hint="eastAsia"/>
          <w:highlight w:val="none"/>
        </w:rPr>
        <w:t>特别说明</w:t>
      </w:r>
    </w:p>
    <w:p>
      <w:pPr>
        <w:tabs>
          <w:tab w:val="clear" w:pos="426"/>
        </w:tabs>
        <w:spacing w:line="300" w:lineRule="auto"/>
        <w:ind w:firstLine="422" w:firstLineChars="200"/>
        <w:rPr>
          <w:rFonts w:hint="eastAsia"/>
          <w:b/>
          <w:bCs/>
          <w:highlight w:val="none"/>
        </w:rPr>
      </w:pPr>
      <w:bookmarkStart w:id="51" w:name="_Toc157893754"/>
      <w:bookmarkStart w:id="52" w:name="_Toc21605"/>
      <w:bookmarkStart w:id="53" w:name="_Toc27621"/>
      <w:r>
        <w:rPr>
          <w:rFonts w:hint="eastAsia"/>
          <w:b/>
          <w:bCs/>
          <w:highlight w:val="none"/>
        </w:rPr>
        <w:t>一、</w:t>
      </w:r>
      <w:r>
        <w:rPr>
          <w:b/>
          <w:bCs/>
          <w:highlight w:val="none"/>
        </w:rPr>
        <w:t>公开招标的货物、服务采购项目，招标过程中提交投标文件或者经评审实质性响应招标文件要求的供应商只有两家时，经评审委员会审核采购文件无歧视性、排他性等不合理条款，可现场直接转为与该两家供应商进行竞争性谈判采购。（《深圳海关非政府采购管理办法》第二十七条）</w:t>
      </w:r>
    </w:p>
    <w:p>
      <w:pPr>
        <w:tabs>
          <w:tab w:val="clear" w:pos="426"/>
        </w:tabs>
        <w:spacing w:line="300" w:lineRule="auto"/>
        <w:ind w:firstLine="422" w:firstLineChars="200"/>
        <w:rPr>
          <w:rFonts w:hint="eastAsia"/>
          <w:b/>
          <w:bCs/>
          <w:highlight w:val="none"/>
        </w:rPr>
      </w:pPr>
      <w:r>
        <w:rPr>
          <w:rFonts w:hint="eastAsia"/>
          <w:b/>
          <w:bCs/>
          <w:highlight w:val="none"/>
        </w:rPr>
        <w:t>二、根据《财库〔</w:t>
      </w:r>
      <w:r>
        <w:rPr>
          <w:b/>
          <w:bCs/>
          <w:highlight w:val="none"/>
        </w:rPr>
        <w:t>2012〕69号财政部关于进一步规范政府采购评审工作有关问题的通知》的规定，评审委员会要在采购项目招标失败时，出具招标文件是否存在不合理条款的论证意见，论证意见写进评审报告中。</w:t>
      </w:r>
    </w:p>
    <w:bookmarkEnd w:id="51"/>
    <w:bookmarkEnd w:id="52"/>
    <w:bookmarkEnd w:id="53"/>
    <w:p>
      <w:pPr>
        <w:rPr>
          <w:highlight w:val="none"/>
        </w:rPr>
      </w:pPr>
    </w:p>
    <w:p>
      <w:pPr>
        <w:rPr>
          <w:rFonts w:hint="eastAsia"/>
          <w:highlight w:val="none"/>
        </w:rPr>
      </w:pPr>
      <w:r>
        <w:rPr>
          <w:rFonts w:hint="eastAsia"/>
          <w:highlight w:val="none"/>
        </w:rPr>
        <w:br w:type="page"/>
      </w:r>
    </w:p>
    <w:p>
      <w:pPr>
        <w:pStyle w:val="62"/>
        <w:rPr>
          <w:highlight w:val="none"/>
        </w:rPr>
      </w:pPr>
      <w:bookmarkStart w:id="54" w:name="_Toc25501"/>
      <w:r>
        <w:rPr>
          <w:rFonts w:hint="eastAsia"/>
          <w:highlight w:val="none"/>
        </w:rPr>
        <w:t>第四章 资格审查和评标方法</w:t>
      </w:r>
      <w:bookmarkEnd w:id="54"/>
    </w:p>
    <w:p>
      <w:pPr>
        <w:pStyle w:val="62"/>
        <w:rPr>
          <w:highlight w:val="none"/>
        </w:rPr>
      </w:pPr>
      <w:bookmarkStart w:id="55" w:name="_Toc12702"/>
      <w:r>
        <w:rPr>
          <w:rFonts w:hint="eastAsia"/>
          <w:highlight w:val="none"/>
        </w:rPr>
        <w:t>前附表（一）</w:t>
      </w:r>
      <w:r>
        <w:rPr>
          <w:highlight w:val="none"/>
        </w:rPr>
        <w:t>资格审查表</w:t>
      </w:r>
      <w:bookmarkEnd w:id="55"/>
    </w:p>
    <w:p>
      <w:pPr>
        <w:tabs>
          <w:tab w:val="clear" w:pos="426"/>
        </w:tabs>
        <w:spacing w:before="231" w:beforeLines="50" w:after="231" w:afterLines="50"/>
        <w:jc w:val="center"/>
        <w:rPr>
          <w:rFonts w:hint="eastAsia" w:ascii="黑体" w:eastAsia="黑体"/>
          <w:sz w:val="28"/>
          <w:szCs w:val="28"/>
          <w:highlight w:val="none"/>
        </w:rPr>
      </w:pPr>
      <w:r>
        <w:rPr>
          <w:rFonts w:hint="eastAsia"/>
          <w:b/>
          <w:highlight w:val="none"/>
        </w:rPr>
        <w:t>（凡有下列情形之一的，投标文件无效，投标作无效标处理</w:t>
      </w:r>
      <w:r>
        <w:rPr>
          <w:rFonts w:hint="eastAsia" w:ascii="黑体" w:eastAsia="黑体"/>
          <w:szCs w:val="21"/>
          <w:highlight w:val="none"/>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highlight w:val="none"/>
              </w:rPr>
            </w:pPr>
            <w:r>
              <w:rPr>
                <w:rFonts w:hint="eastAsia"/>
                <w:b/>
                <w:highlight w:val="none"/>
              </w:rPr>
              <w:t>序号</w:t>
            </w:r>
          </w:p>
        </w:tc>
        <w:tc>
          <w:tcPr>
            <w:tcW w:w="8806" w:type="dxa"/>
            <w:vAlign w:val="center"/>
          </w:tcPr>
          <w:p>
            <w:pPr>
              <w:tabs>
                <w:tab w:val="clear" w:pos="426"/>
              </w:tabs>
              <w:adjustRightInd/>
              <w:snapToGrid/>
              <w:spacing w:line="240" w:lineRule="auto"/>
              <w:jc w:val="center"/>
              <w:rPr>
                <w:rFonts w:hint="eastAsia"/>
                <w:b/>
                <w:highlight w:val="none"/>
              </w:rPr>
            </w:pPr>
            <w:r>
              <w:rPr>
                <w:rFonts w:hint="eastAsia"/>
                <w:b/>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3"/>
              </w:numPr>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投标供应商具备招标资质要求，且提交相应资质证明材料；(详见招标公告“申请人的资格要求”，其中未列示的资质要求不得导致废标。)</w:t>
            </w:r>
          </w:p>
        </w:tc>
      </w:tr>
    </w:tbl>
    <w:p>
      <w:pPr>
        <w:pStyle w:val="62"/>
        <w:rPr>
          <w:highlight w:val="none"/>
        </w:rPr>
      </w:pPr>
      <w:r>
        <w:rPr>
          <w:sz w:val="24"/>
          <w:highlight w:val="none"/>
        </w:rPr>
        <w:br w:type="page"/>
      </w:r>
      <w:bookmarkStart w:id="56" w:name="_Toc10832"/>
      <w:bookmarkStart w:id="57" w:name="_Toc435514846"/>
      <w:r>
        <w:rPr>
          <w:rFonts w:hint="eastAsia"/>
          <w:sz w:val="24"/>
          <w:highlight w:val="none"/>
        </w:rPr>
        <w:t>前附表（二）符合性审查表</w:t>
      </w:r>
      <w:bookmarkEnd w:id="56"/>
    </w:p>
    <w:p>
      <w:pPr>
        <w:tabs>
          <w:tab w:val="clear" w:pos="426"/>
        </w:tabs>
        <w:spacing w:before="231" w:beforeLines="50" w:after="231" w:afterLines="50"/>
        <w:jc w:val="center"/>
        <w:rPr>
          <w:rFonts w:hint="eastAsia" w:ascii="黑体" w:eastAsia="黑体"/>
          <w:sz w:val="28"/>
          <w:szCs w:val="28"/>
          <w:highlight w:val="none"/>
        </w:rPr>
      </w:pPr>
      <w:r>
        <w:rPr>
          <w:rFonts w:hint="eastAsia"/>
          <w:b/>
          <w:highlight w:val="none"/>
        </w:rPr>
        <w:t>（凡有下列情形之一的，投标文件无效，投标作无效标处理</w:t>
      </w:r>
      <w:r>
        <w:rPr>
          <w:rFonts w:hint="eastAsia" w:ascii="黑体" w:eastAsia="黑体"/>
          <w:szCs w:val="21"/>
          <w:highlight w:val="none"/>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rFonts w:hint="eastAsia"/>
                <w:b/>
                <w:highlight w:val="none"/>
              </w:rPr>
            </w:pPr>
            <w:r>
              <w:rPr>
                <w:rFonts w:hint="eastAsia"/>
                <w:b/>
                <w:highlight w:val="none"/>
              </w:rPr>
              <w:t>序号</w:t>
            </w:r>
          </w:p>
        </w:tc>
        <w:tc>
          <w:tcPr>
            <w:tcW w:w="8806" w:type="dxa"/>
            <w:vAlign w:val="center"/>
          </w:tcPr>
          <w:p>
            <w:pPr>
              <w:tabs>
                <w:tab w:val="clear" w:pos="426"/>
              </w:tabs>
              <w:adjustRightInd/>
              <w:snapToGrid/>
              <w:spacing w:line="240" w:lineRule="auto"/>
              <w:jc w:val="center"/>
              <w:rPr>
                <w:rFonts w:hint="eastAsia"/>
                <w:b/>
                <w:highlight w:val="none"/>
              </w:rPr>
            </w:pPr>
            <w:r>
              <w:rPr>
                <w:rFonts w:hint="eastAsia"/>
                <w:b/>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未按招标文件所提供的样式填写</w:t>
            </w:r>
            <w:r>
              <w:rPr>
                <w:highlight w:val="none"/>
              </w:rPr>
              <w:t>《</w:t>
            </w:r>
            <w:r>
              <w:rPr>
                <w:rFonts w:hint="eastAsia"/>
                <w:highlight w:val="none"/>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highlight w:val="none"/>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ascii="Times New Roman" w:hAnsi="Times New Roman" w:cs="Times New Roman"/>
                <w:highlight w:val="none"/>
              </w:rPr>
              <w:t>投标报价有严重缺漏项目或对招标文件规定的</w:t>
            </w:r>
            <w:r>
              <w:rPr>
                <w:rFonts w:hint="eastAsia" w:ascii="Times New Roman" w:hAnsi="Times New Roman" w:cs="Times New Roman"/>
                <w:highlight w:val="none"/>
              </w:rPr>
              <w:t>货物</w:t>
            </w:r>
            <w:r>
              <w:rPr>
                <w:rFonts w:ascii="Times New Roman" w:hAnsi="Times New Roman" w:cs="Times New Roman"/>
                <w:highlight w:val="none"/>
              </w:rPr>
              <w:t>清单项目及数量进行修改</w:t>
            </w:r>
            <w:r>
              <w:rPr>
                <w:rFonts w:hint="eastAsia"/>
                <w:highlight w:val="none"/>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4"/>
              </w:numPr>
              <w:shd w:val="clear" w:color="auto" w:fill="auto"/>
              <w:tabs>
                <w:tab w:val="clear" w:pos="426"/>
              </w:tabs>
              <w:adjustRightInd/>
              <w:snapToGrid/>
              <w:spacing w:line="240" w:lineRule="auto"/>
              <w:ind w:left="0" w:firstLine="0"/>
              <w:jc w:val="center"/>
              <w:rPr>
                <w:rFonts w:hint="eastAsia"/>
                <w:highlight w:val="none"/>
              </w:rPr>
            </w:pPr>
          </w:p>
        </w:tc>
        <w:tc>
          <w:tcPr>
            <w:tcW w:w="8806" w:type="dxa"/>
            <w:vAlign w:val="center"/>
          </w:tcPr>
          <w:p>
            <w:pPr>
              <w:tabs>
                <w:tab w:val="clear" w:pos="426"/>
              </w:tabs>
              <w:adjustRightInd/>
              <w:snapToGrid/>
              <w:spacing w:line="240" w:lineRule="auto"/>
              <w:rPr>
                <w:rFonts w:hint="eastAsia"/>
                <w:highlight w:val="none"/>
              </w:rPr>
            </w:pPr>
            <w:r>
              <w:rPr>
                <w:rFonts w:hint="eastAsia"/>
                <w:highlight w:val="none"/>
              </w:rPr>
              <w:t>法律、法规规定的属于投标无效的其他情形。</w:t>
            </w:r>
          </w:p>
        </w:tc>
      </w:tr>
    </w:tbl>
    <w:p>
      <w:pPr>
        <w:rPr>
          <w:rFonts w:hint="eastAsia"/>
          <w:highlight w:val="none"/>
        </w:rPr>
      </w:pPr>
      <w:r>
        <w:rPr>
          <w:highlight w:val="none"/>
        </w:rPr>
        <w:br w:type="page"/>
      </w:r>
    </w:p>
    <w:p>
      <w:pPr>
        <w:pStyle w:val="62"/>
        <w:rPr>
          <w:highlight w:val="none"/>
        </w:rPr>
      </w:pPr>
      <w:bookmarkStart w:id="58" w:name="_Toc11333"/>
      <w:r>
        <w:rPr>
          <w:rFonts w:hint="eastAsia"/>
          <w:highlight w:val="none"/>
        </w:rPr>
        <w:t>前附表（三）综合评分法评分因素和权重分值表</w:t>
      </w:r>
      <w:bookmarkEnd w:id="58"/>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rFonts w:hint="eastAsia"/>
                <w:b/>
                <w:color w:val="auto"/>
                <w:szCs w:val="21"/>
                <w:highlight w:val="none"/>
                <w:lang w:val="zh-CN"/>
              </w:rPr>
            </w:pPr>
            <w:r>
              <w:rPr>
                <w:rFonts w:hint="eastAsia"/>
                <w:b/>
                <w:color w:val="auto"/>
                <w:szCs w:val="21"/>
                <w:highlight w:val="none"/>
                <w:lang w:val="zh-CN"/>
              </w:rPr>
              <w:t>评分项及评分规则</w:t>
            </w:r>
          </w:p>
        </w:tc>
        <w:tc>
          <w:tcPr>
            <w:tcW w:w="1187" w:type="dxa"/>
            <w:vAlign w:val="center"/>
          </w:tcPr>
          <w:p>
            <w:pPr>
              <w:autoSpaceDE w:val="0"/>
              <w:autoSpaceDN w:val="0"/>
              <w:jc w:val="center"/>
              <w:rPr>
                <w:rFonts w:hint="eastAsia"/>
                <w:b/>
                <w:color w:val="auto"/>
                <w:szCs w:val="21"/>
                <w:highlight w:val="none"/>
                <w:lang w:val="zh-CN"/>
              </w:rPr>
            </w:pPr>
            <w:r>
              <w:rPr>
                <w:rFonts w:hint="eastAsia"/>
                <w:b/>
                <w:color w:val="auto"/>
                <w:szCs w:val="21"/>
                <w:highlight w:val="none"/>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rFonts w:hint="eastAsia"/>
                <w:b/>
                <w:color w:val="auto"/>
                <w:szCs w:val="21"/>
                <w:highlight w:val="none"/>
                <w:lang w:val="zh-CN"/>
              </w:rPr>
            </w:pPr>
            <w:r>
              <w:rPr>
                <w:rFonts w:hint="eastAsia"/>
                <w:b/>
                <w:color w:val="auto"/>
                <w:szCs w:val="21"/>
                <w:highlight w:val="none"/>
                <w:lang w:val="zh-CN"/>
              </w:rPr>
              <w:t>一、价格部分</w:t>
            </w:r>
          </w:p>
        </w:tc>
        <w:tc>
          <w:tcPr>
            <w:tcW w:w="1187" w:type="dxa"/>
            <w:vAlign w:val="center"/>
          </w:tcPr>
          <w:p>
            <w:pPr>
              <w:autoSpaceDE w:val="0"/>
              <w:autoSpaceDN w:val="0"/>
              <w:jc w:val="center"/>
              <w:rPr>
                <w:rFonts w:hint="eastAsia"/>
                <w:b/>
                <w:color w:val="auto"/>
                <w:szCs w:val="21"/>
                <w:highlight w:val="none"/>
              </w:rPr>
            </w:pPr>
            <w:r>
              <w:rPr>
                <w:rFonts w:hint="eastAsia"/>
                <w:b/>
                <w:color w:val="auto"/>
                <w:szCs w:val="21"/>
                <w:highlight w:val="none"/>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rFonts w:hint="eastAsia"/>
                <w:color w:val="auto"/>
                <w:szCs w:val="21"/>
                <w:highlight w:val="none"/>
              </w:rPr>
            </w:pPr>
            <w:r>
              <w:rPr>
                <w:rFonts w:hint="eastAsia"/>
                <w:color w:val="auto"/>
                <w:szCs w:val="21"/>
                <w:highlight w:val="none"/>
              </w:rPr>
              <w:t>价格分采用低价优先法计算，即满足招标文件要求且投标价格最低的投标报价为评标基准价，其价格分为满分。其他投标人的价格分统一按照下列公式计算：</w:t>
            </w:r>
          </w:p>
          <w:p>
            <w:pPr>
              <w:jc w:val="left"/>
              <w:rPr>
                <w:rFonts w:hint="eastAsia"/>
                <w:color w:val="auto"/>
                <w:szCs w:val="21"/>
                <w:highlight w:val="none"/>
              </w:rPr>
            </w:pPr>
            <w:r>
              <w:rPr>
                <w:rFonts w:hint="eastAsia"/>
                <w:color w:val="auto"/>
                <w:szCs w:val="21"/>
                <w:highlight w:val="none"/>
              </w:rPr>
              <w:t>投标报价得分=(评标基准价／投标报价)×30</w:t>
            </w:r>
          </w:p>
          <w:p>
            <w:pPr>
              <w:rPr>
                <w:rFonts w:hint="eastAsia"/>
                <w:color w:val="auto"/>
                <w:szCs w:val="21"/>
                <w:highlight w:val="none"/>
              </w:rPr>
            </w:pPr>
            <w:r>
              <w:rPr>
                <w:rFonts w:hint="eastAsia"/>
                <w:snapToGrid w:val="0"/>
                <w:color w:val="auto"/>
                <w:szCs w:val="21"/>
                <w:highlight w:val="none"/>
              </w:rPr>
              <w:t>备注：1、因落实政府采购政策进行价格调整的，以调整后的价格计算评标基准价和投标报价</w:t>
            </w:r>
            <w:r>
              <w:rPr>
                <w:rFonts w:hint="eastAsia"/>
                <w:bCs/>
                <w:snapToGrid w:val="0"/>
                <w:color w:val="auto"/>
                <w:szCs w:val="21"/>
                <w:highlight w:val="none"/>
              </w:rPr>
              <w:t>；</w:t>
            </w:r>
            <w:r>
              <w:rPr>
                <w:rFonts w:hint="eastAsia"/>
                <w:snapToGrid w:val="0"/>
                <w:color w:val="auto"/>
                <w:szCs w:val="21"/>
                <w:highlight w:val="none"/>
              </w:rPr>
              <w:t>2、投标报价得分四舍五入后，小数点后保留两位有效数</w:t>
            </w:r>
            <w:r>
              <w:rPr>
                <w:rFonts w:hint="eastAsia"/>
                <w:color w:val="auto"/>
                <w:szCs w:val="21"/>
                <w:highlight w:val="none"/>
              </w:rPr>
              <w:t>。</w:t>
            </w:r>
          </w:p>
        </w:tc>
        <w:tc>
          <w:tcPr>
            <w:tcW w:w="1187" w:type="dxa"/>
            <w:vAlign w:val="center"/>
          </w:tcPr>
          <w:p>
            <w:pPr>
              <w:autoSpaceDE w:val="0"/>
              <w:autoSpaceDN w:val="0"/>
              <w:jc w:val="center"/>
              <w:rPr>
                <w:rFonts w:hint="eastAsia"/>
                <w:color w:val="auto"/>
                <w:szCs w:val="21"/>
                <w:highlight w:val="none"/>
              </w:rPr>
            </w:pPr>
            <w:r>
              <w:rPr>
                <w:rFonts w:hint="eastAsia"/>
                <w:color w:val="auto"/>
                <w:szCs w:val="21"/>
                <w:highlight w:val="none"/>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rFonts w:hint="eastAsia"/>
                <w:b/>
                <w:color w:val="auto"/>
                <w:szCs w:val="21"/>
                <w:highlight w:val="none"/>
              </w:rPr>
            </w:pPr>
            <w:r>
              <w:rPr>
                <w:rFonts w:hint="eastAsia"/>
                <w:b/>
                <w:color w:val="auto"/>
                <w:szCs w:val="21"/>
                <w:highlight w:val="none"/>
              </w:rPr>
              <w:t>二、技术部分</w:t>
            </w:r>
          </w:p>
        </w:tc>
        <w:tc>
          <w:tcPr>
            <w:tcW w:w="1187" w:type="dxa"/>
            <w:vAlign w:val="center"/>
          </w:tcPr>
          <w:p>
            <w:pPr>
              <w:autoSpaceDE w:val="0"/>
              <w:autoSpaceDN w:val="0"/>
              <w:jc w:val="center"/>
              <w:rPr>
                <w:rFonts w:hint="eastAsia"/>
                <w:b/>
                <w:color w:val="auto"/>
                <w:szCs w:val="21"/>
                <w:highlight w:val="none"/>
              </w:rPr>
            </w:pPr>
            <w:r>
              <w:rPr>
                <w:rFonts w:hint="eastAsia"/>
                <w:b/>
                <w:color w:val="auto"/>
                <w:szCs w:val="21"/>
                <w:highlight w:val="none"/>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rFonts w:hint="eastAsia"/>
                <w:color w:val="auto"/>
                <w:szCs w:val="21"/>
                <w:highlight w:val="none"/>
              </w:rPr>
            </w:pPr>
            <w:r>
              <w:rPr>
                <w:rFonts w:hint="eastAsia"/>
                <w:color w:val="auto"/>
                <w:szCs w:val="21"/>
                <w:highlight w:val="none"/>
              </w:rPr>
              <w:t>序号</w:t>
            </w:r>
          </w:p>
        </w:tc>
        <w:tc>
          <w:tcPr>
            <w:tcW w:w="1143" w:type="dxa"/>
            <w:vAlign w:val="center"/>
          </w:tcPr>
          <w:p>
            <w:pPr>
              <w:autoSpaceDE w:val="0"/>
              <w:autoSpaceDN w:val="0"/>
              <w:jc w:val="center"/>
              <w:rPr>
                <w:rFonts w:hint="eastAsia"/>
                <w:color w:val="auto"/>
                <w:szCs w:val="21"/>
                <w:highlight w:val="none"/>
              </w:rPr>
            </w:pPr>
            <w:r>
              <w:rPr>
                <w:rFonts w:hint="eastAsia"/>
                <w:color w:val="auto"/>
                <w:szCs w:val="21"/>
                <w:highlight w:val="none"/>
              </w:rPr>
              <w:t>内容</w:t>
            </w:r>
          </w:p>
        </w:tc>
        <w:tc>
          <w:tcPr>
            <w:tcW w:w="709" w:type="dxa"/>
            <w:vAlign w:val="center"/>
          </w:tcPr>
          <w:p>
            <w:pPr>
              <w:autoSpaceDE w:val="0"/>
              <w:autoSpaceDN w:val="0"/>
              <w:jc w:val="center"/>
              <w:rPr>
                <w:rFonts w:hint="eastAsia"/>
                <w:color w:val="auto"/>
                <w:szCs w:val="21"/>
                <w:highlight w:val="none"/>
              </w:rPr>
            </w:pPr>
            <w:r>
              <w:rPr>
                <w:rFonts w:hint="eastAsia"/>
                <w:color w:val="auto"/>
                <w:szCs w:val="21"/>
                <w:highlight w:val="none"/>
              </w:rPr>
              <w:t>权重</w:t>
            </w:r>
          </w:p>
        </w:tc>
        <w:tc>
          <w:tcPr>
            <w:tcW w:w="5953" w:type="dxa"/>
            <w:vAlign w:val="center"/>
          </w:tcPr>
          <w:p>
            <w:pPr>
              <w:autoSpaceDE w:val="0"/>
              <w:autoSpaceDN w:val="0"/>
              <w:jc w:val="center"/>
              <w:rPr>
                <w:rFonts w:hint="eastAsia"/>
                <w:color w:val="auto"/>
                <w:szCs w:val="21"/>
                <w:highlight w:val="none"/>
              </w:rPr>
            </w:pPr>
            <w:r>
              <w:rPr>
                <w:rFonts w:hint="eastAsia"/>
                <w:color w:val="auto"/>
                <w:szCs w:val="21"/>
                <w:highlight w:val="none"/>
              </w:rPr>
              <w:t>评分规则</w:t>
            </w:r>
          </w:p>
        </w:tc>
        <w:tc>
          <w:tcPr>
            <w:tcW w:w="1187" w:type="dxa"/>
            <w:vAlign w:val="center"/>
          </w:tcPr>
          <w:p>
            <w:pPr>
              <w:autoSpaceDE w:val="0"/>
              <w:autoSpaceDN w:val="0"/>
              <w:jc w:val="center"/>
              <w:rPr>
                <w:rFonts w:hint="eastAsia"/>
                <w:color w:val="auto"/>
                <w:szCs w:val="21"/>
                <w:highlight w:val="none"/>
              </w:rPr>
            </w:pPr>
            <w:r>
              <w:rPr>
                <w:rFonts w:hint="eastAsia"/>
                <w:color w:val="auto"/>
                <w:szCs w:val="21"/>
                <w:highlight w:val="none"/>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color w:val="auto"/>
                <w:szCs w:val="21"/>
                <w:highlight w:val="none"/>
              </w:rPr>
            </w:pPr>
            <w:r>
              <w:rPr>
                <w:rFonts w:hint="eastAsia"/>
                <w:color w:val="auto"/>
                <w:szCs w:val="21"/>
                <w:highlight w:val="none"/>
              </w:rPr>
              <w:t>1</w:t>
            </w:r>
          </w:p>
        </w:tc>
        <w:tc>
          <w:tcPr>
            <w:tcW w:w="1143" w:type="dxa"/>
            <w:vAlign w:val="center"/>
          </w:tcPr>
          <w:p>
            <w:pPr>
              <w:jc w:val="center"/>
              <w:rPr>
                <w:rFonts w:hint="eastAsia"/>
                <w:color w:val="auto"/>
                <w:szCs w:val="21"/>
                <w:highlight w:val="none"/>
              </w:rPr>
            </w:pPr>
            <w:r>
              <w:rPr>
                <w:rFonts w:hint="eastAsia"/>
                <w:color w:val="auto"/>
                <w:szCs w:val="21"/>
                <w:highlight w:val="none"/>
              </w:rPr>
              <w:t>技术规格偏离情况</w:t>
            </w:r>
          </w:p>
        </w:tc>
        <w:tc>
          <w:tcPr>
            <w:tcW w:w="709" w:type="dxa"/>
            <w:vAlign w:val="center"/>
          </w:tcPr>
          <w:p>
            <w:pPr>
              <w:jc w:val="center"/>
              <w:rPr>
                <w:rFonts w:hint="eastAsia"/>
                <w:color w:val="auto"/>
                <w:szCs w:val="21"/>
                <w:highlight w:val="none"/>
              </w:rPr>
            </w:pPr>
            <w:r>
              <w:rPr>
                <w:rFonts w:hint="eastAsia"/>
                <w:color w:val="auto"/>
                <w:szCs w:val="21"/>
                <w:highlight w:val="none"/>
              </w:rPr>
              <w:t>50</w:t>
            </w:r>
          </w:p>
        </w:tc>
        <w:tc>
          <w:tcPr>
            <w:tcW w:w="5953" w:type="dxa"/>
            <w:vAlign w:val="center"/>
          </w:tcPr>
          <w:p>
            <w:pPr>
              <w:jc w:val="left"/>
              <w:rPr>
                <w:rFonts w:hint="eastAsia"/>
                <w:color w:val="auto"/>
                <w:szCs w:val="21"/>
                <w:highlight w:val="none"/>
              </w:rPr>
            </w:pPr>
            <w:r>
              <w:rPr>
                <w:rFonts w:hint="eastAsia"/>
                <w:color w:val="auto"/>
                <w:szCs w:val="21"/>
                <w:highlight w:val="none"/>
              </w:rPr>
              <w:t>（一）评分内容：</w:t>
            </w:r>
          </w:p>
          <w:p>
            <w:pPr>
              <w:jc w:val="left"/>
              <w:rPr>
                <w:rFonts w:hint="eastAsia"/>
                <w:color w:val="auto"/>
                <w:szCs w:val="21"/>
                <w:highlight w:val="none"/>
              </w:rPr>
            </w:pPr>
            <w:r>
              <w:rPr>
                <w:rFonts w:hint="eastAsia"/>
                <w:color w:val="auto"/>
                <w:szCs w:val="21"/>
                <w:highlight w:val="none"/>
              </w:rPr>
              <w:t>完全满足招标文件技术指标、参数要求，应答完整的得50分；“★”为不可偏离参数；以此为基础，投标人的技术响应低于招标文件中规定的“▲”技术要求每有一项减2分；投标人一般技术响应低于招标文件规定的，每有一项减1分。本项最低得0分。</w:t>
            </w:r>
          </w:p>
          <w:p>
            <w:pPr>
              <w:jc w:val="left"/>
              <w:rPr>
                <w:rFonts w:hint="eastAsia"/>
                <w:color w:val="auto"/>
                <w:szCs w:val="21"/>
                <w:highlight w:val="none"/>
              </w:rPr>
            </w:pPr>
            <w:r>
              <w:rPr>
                <w:rFonts w:hint="eastAsia"/>
                <w:color w:val="auto"/>
                <w:szCs w:val="21"/>
                <w:highlight w:val="none"/>
              </w:rPr>
              <w:t>（二）评分依据：</w:t>
            </w:r>
          </w:p>
          <w:p>
            <w:pPr>
              <w:jc w:val="left"/>
              <w:rPr>
                <w:rFonts w:hint="eastAsia"/>
                <w:color w:val="auto"/>
                <w:szCs w:val="21"/>
                <w:highlight w:val="none"/>
              </w:rPr>
            </w:pPr>
            <w:r>
              <w:rPr>
                <w:rFonts w:hint="eastAsia"/>
                <w:color w:val="auto"/>
                <w:szCs w:val="21"/>
                <w:highlight w:val="none"/>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rFonts w:hint="eastAsia"/>
                <w:color w:val="auto"/>
                <w:szCs w:val="21"/>
                <w:highlight w:val="none"/>
              </w:rPr>
            </w:pPr>
            <w:r>
              <w:rPr>
                <w:rFonts w:hint="eastAsia"/>
                <w:color w:val="auto"/>
                <w:szCs w:val="21"/>
                <w:highlight w:val="none"/>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rFonts w:hint="eastAsia"/>
                <w:color w:val="auto"/>
                <w:szCs w:val="21"/>
                <w:highlight w:val="none"/>
              </w:rPr>
            </w:pPr>
            <w:r>
              <w:rPr>
                <w:rFonts w:hint="eastAsia"/>
                <w:color w:val="auto"/>
                <w:szCs w:val="21"/>
                <w:highlight w:val="none"/>
              </w:rPr>
              <w:t>2</w:t>
            </w:r>
          </w:p>
        </w:tc>
        <w:tc>
          <w:tcPr>
            <w:tcW w:w="1143" w:type="dxa"/>
            <w:vAlign w:val="center"/>
          </w:tcPr>
          <w:p>
            <w:pPr>
              <w:jc w:val="center"/>
              <w:rPr>
                <w:rFonts w:hint="eastAsia"/>
                <w:color w:val="auto"/>
                <w:szCs w:val="21"/>
                <w:highlight w:val="none"/>
              </w:rPr>
            </w:pPr>
            <w:r>
              <w:rPr>
                <w:rFonts w:hint="eastAsia"/>
                <w:color w:val="auto"/>
                <w:szCs w:val="21"/>
                <w:highlight w:val="none"/>
              </w:rPr>
              <w:t>技术保障措施</w:t>
            </w:r>
          </w:p>
        </w:tc>
        <w:tc>
          <w:tcPr>
            <w:tcW w:w="709" w:type="dxa"/>
            <w:vAlign w:val="center"/>
          </w:tcPr>
          <w:p>
            <w:pPr>
              <w:jc w:val="center"/>
              <w:rPr>
                <w:rFonts w:hint="eastAsia"/>
                <w:color w:val="auto"/>
                <w:szCs w:val="21"/>
                <w:highlight w:val="none"/>
              </w:rPr>
            </w:pPr>
            <w:r>
              <w:rPr>
                <w:rFonts w:hint="eastAsia"/>
                <w:color w:val="auto"/>
                <w:szCs w:val="21"/>
                <w:highlight w:val="none"/>
              </w:rPr>
              <w:t>4</w:t>
            </w:r>
          </w:p>
        </w:tc>
        <w:tc>
          <w:tcPr>
            <w:tcW w:w="5953" w:type="dxa"/>
            <w:vAlign w:val="center"/>
          </w:tcPr>
          <w:p>
            <w:pPr>
              <w:jc w:val="left"/>
              <w:rPr>
                <w:rFonts w:hint="eastAsia"/>
                <w:color w:val="auto"/>
                <w:szCs w:val="21"/>
                <w:highlight w:val="none"/>
              </w:rPr>
            </w:pPr>
            <w:r>
              <w:rPr>
                <w:rFonts w:hint="eastAsia"/>
                <w:color w:val="auto"/>
                <w:szCs w:val="21"/>
                <w:highlight w:val="none"/>
              </w:rPr>
              <w:t>（一）评分内容：</w:t>
            </w:r>
          </w:p>
          <w:p>
            <w:pPr>
              <w:jc w:val="left"/>
              <w:rPr>
                <w:rFonts w:hint="eastAsia"/>
                <w:color w:val="auto"/>
                <w:szCs w:val="21"/>
                <w:highlight w:val="none"/>
              </w:rPr>
            </w:pPr>
            <w:r>
              <w:rPr>
                <w:rFonts w:hint="eastAsia"/>
                <w:color w:val="auto"/>
                <w:szCs w:val="21"/>
                <w:highlight w:val="none"/>
              </w:rPr>
              <w:t>投标人在投标文件中详细说明技术保障措施，包含以下内容：</w:t>
            </w:r>
          </w:p>
          <w:p>
            <w:pPr>
              <w:jc w:val="left"/>
              <w:rPr>
                <w:rFonts w:hint="eastAsia"/>
                <w:color w:val="auto"/>
                <w:szCs w:val="21"/>
                <w:highlight w:val="none"/>
              </w:rPr>
            </w:pPr>
            <w:r>
              <w:rPr>
                <w:rFonts w:hint="eastAsia"/>
                <w:color w:val="auto"/>
                <w:szCs w:val="21"/>
                <w:highlight w:val="none"/>
              </w:rPr>
              <w:t>（1）供货方案；</w:t>
            </w:r>
          </w:p>
          <w:p>
            <w:pPr>
              <w:jc w:val="left"/>
              <w:rPr>
                <w:rFonts w:hint="eastAsia"/>
                <w:color w:val="auto"/>
                <w:szCs w:val="21"/>
                <w:highlight w:val="none"/>
              </w:rPr>
            </w:pPr>
            <w:r>
              <w:rPr>
                <w:rFonts w:hint="eastAsia"/>
                <w:color w:val="auto"/>
                <w:szCs w:val="21"/>
                <w:highlight w:val="none"/>
              </w:rPr>
              <w:t>（2）安装调试方案；</w:t>
            </w:r>
          </w:p>
          <w:p>
            <w:pPr>
              <w:jc w:val="left"/>
              <w:rPr>
                <w:rFonts w:hint="eastAsia"/>
                <w:color w:val="auto"/>
                <w:szCs w:val="21"/>
                <w:highlight w:val="none"/>
              </w:rPr>
            </w:pPr>
            <w:r>
              <w:rPr>
                <w:rFonts w:hint="eastAsia"/>
                <w:color w:val="auto"/>
                <w:szCs w:val="21"/>
                <w:highlight w:val="none"/>
              </w:rPr>
              <w:t>（3）质量管理措施。</w:t>
            </w:r>
          </w:p>
          <w:p>
            <w:pPr>
              <w:jc w:val="left"/>
              <w:rPr>
                <w:rFonts w:hint="eastAsia"/>
                <w:color w:val="auto"/>
                <w:szCs w:val="21"/>
                <w:highlight w:val="none"/>
              </w:rPr>
            </w:pPr>
            <w:r>
              <w:rPr>
                <w:rFonts w:hint="eastAsia"/>
                <w:color w:val="auto"/>
                <w:szCs w:val="21"/>
                <w:highlight w:val="none"/>
              </w:rPr>
              <w:t xml:space="preserve">（二）评分标准： </w:t>
            </w:r>
          </w:p>
          <w:p>
            <w:pPr>
              <w:jc w:val="left"/>
              <w:rPr>
                <w:rFonts w:hint="eastAsia"/>
                <w:color w:val="auto"/>
                <w:szCs w:val="21"/>
                <w:highlight w:val="none"/>
              </w:rPr>
            </w:pPr>
            <w:r>
              <w:rPr>
                <w:rFonts w:hint="eastAsia"/>
                <w:color w:val="auto"/>
                <w:szCs w:val="21"/>
                <w:highlight w:val="none"/>
              </w:rPr>
              <w:t>1.供货方案全面、有针对性的得2分；方案内容简单、笼统，存在较多的不足的得1分；未提供的0分。</w:t>
            </w:r>
          </w:p>
          <w:p>
            <w:pPr>
              <w:jc w:val="left"/>
              <w:rPr>
                <w:rFonts w:hint="eastAsia"/>
                <w:color w:val="auto"/>
                <w:szCs w:val="21"/>
                <w:highlight w:val="none"/>
              </w:rPr>
            </w:pPr>
            <w:r>
              <w:rPr>
                <w:rFonts w:hint="eastAsia"/>
                <w:color w:val="auto"/>
                <w:szCs w:val="21"/>
                <w:highlight w:val="none"/>
              </w:rPr>
              <w:t>2.安装调试方案全面、有针对性的得1分；方案内容简单、笼统，存在较多的不足的得0.5分；未提供的0分。</w:t>
            </w:r>
          </w:p>
          <w:p>
            <w:pPr>
              <w:jc w:val="left"/>
              <w:rPr>
                <w:rFonts w:hint="eastAsia"/>
                <w:color w:val="auto"/>
                <w:szCs w:val="21"/>
                <w:highlight w:val="none"/>
              </w:rPr>
            </w:pPr>
            <w:r>
              <w:rPr>
                <w:rFonts w:hint="eastAsia"/>
                <w:color w:val="auto"/>
                <w:szCs w:val="21"/>
                <w:highlight w:val="none"/>
              </w:rPr>
              <w:t>3.质量管理措施切实、有效的得1分；质量管理措施简单、笼统，存在较多的不足的得0.5分；未提供的0分。</w:t>
            </w:r>
          </w:p>
          <w:p>
            <w:pPr>
              <w:jc w:val="left"/>
              <w:rPr>
                <w:rFonts w:hint="eastAsia"/>
                <w:color w:val="auto"/>
                <w:szCs w:val="21"/>
                <w:highlight w:val="none"/>
              </w:rPr>
            </w:pPr>
            <w:r>
              <w:rPr>
                <w:rFonts w:hint="eastAsia"/>
                <w:color w:val="auto"/>
                <w:szCs w:val="21"/>
                <w:highlight w:val="none"/>
              </w:rPr>
              <w:t>以上3项合计最高4分。</w:t>
            </w:r>
          </w:p>
        </w:tc>
        <w:tc>
          <w:tcPr>
            <w:tcW w:w="1187" w:type="dxa"/>
            <w:vAlign w:val="center"/>
          </w:tcPr>
          <w:p>
            <w:pPr>
              <w:jc w:val="center"/>
              <w:rPr>
                <w:rFonts w:hint="eastAsia"/>
                <w:color w:val="auto"/>
                <w:szCs w:val="21"/>
                <w:highlight w:val="none"/>
              </w:rPr>
            </w:pPr>
            <w:r>
              <w:rPr>
                <w:rFonts w:hint="eastAsia"/>
                <w:color w:val="auto"/>
                <w:szCs w:val="21"/>
                <w:highlight w:val="none"/>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rFonts w:hint="eastAsia"/>
                <w:color w:val="auto"/>
                <w:szCs w:val="21"/>
                <w:highlight w:val="none"/>
              </w:rPr>
            </w:pPr>
            <w:r>
              <w:rPr>
                <w:rFonts w:hint="eastAsia"/>
                <w:color w:val="auto"/>
                <w:szCs w:val="21"/>
                <w:highlight w:val="none"/>
              </w:rPr>
              <w:t>3</w:t>
            </w:r>
          </w:p>
        </w:tc>
        <w:tc>
          <w:tcPr>
            <w:tcW w:w="1143" w:type="dxa"/>
            <w:vAlign w:val="center"/>
          </w:tcPr>
          <w:p>
            <w:pPr>
              <w:jc w:val="center"/>
              <w:rPr>
                <w:rFonts w:hint="eastAsia"/>
                <w:color w:val="auto"/>
                <w:szCs w:val="21"/>
                <w:highlight w:val="none"/>
              </w:rPr>
            </w:pPr>
            <w:r>
              <w:rPr>
                <w:rFonts w:hint="eastAsia"/>
                <w:color w:val="auto"/>
                <w:szCs w:val="21"/>
                <w:highlight w:val="none"/>
              </w:rPr>
              <w:t>售后服务方案</w:t>
            </w:r>
          </w:p>
        </w:tc>
        <w:tc>
          <w:tcPr>
            <w:tcW w:w="709" w:type="dxa"/>
            <w:vAlign w:val="center"/>
          </w:tcPr>
          <w:p>
            <w:pPr>
              <w:jc w:val="center"/>
              <w:rPr>
                <w:rFonts w:hint="eastAsia"/>
                <w:color w:val="auto"/>
                <w:szCs w:val="21"/>
                <w:highlight w:val="none"/>
              </w:rPr>
            </w:pPr>
            <w:r>
              <w:rPr>
                <w:rFonts w:hint="eastAsia"/>
                <w:color w:val="auto"/>
                <w:szCs w:val="21"/>
                <w:highlight w:val="none"/>
              </w:rPr>
              <w:t>6</w:t>
            </w:r>
          </w:p>
        </w:tc>
        <w:tc>
          <w:tcPr>
            <w:tcW w:w="5953" w:type="dxa"/>
            <w:vAlign w:val="center"/>
          </w:tcPr>
          <w:p>
            <w:pPr>
              <w:jc w:val="left"/>
              <w:rPr>
                <w:rFonts w:hint="eastAsia"/>
                <w:color w:val="auto"/>
                <w:szCs w:val="21"/>
                <w:highlight w:val="none"/>
              </w:rPr>
            </w:pPr>
            <w:r>
              <w:rPr>
                <w:rFonts w:hint="eastAsia"/>
                <w:color w:val="auto"/>
                <w:szCs w:val="21"/>
                <w:highlight w:val="none"/>
              </w:rPr>
              <w:t>（一）评分内容：</w:t>
            </w:r>
          </w:p>
          <w:p>
            <w:pPr>
              <w:jc w:val="left"/>
              <w:rPr>
                <w:rFonts w:hint="eastAsia"/>
                <w:color w:val="auto"/>
                <w:szCs w:val="21"/>
                <w:highlight w:val="none"/>
              </w:rPr>
            </w:pPr>
            <w:r>
              <w:rPr>
                <w:rFonts w:hint="eastAsia"/>
                <w:color w:val="auto"/>
                <w:szCs w:val="21"/>
                <w:highlight w:val="none"/>
              </w:rPr>
              <w:t>投标人提供售后服务方案，包含以下内容：</w:t>
            </w:r>
          </w:p>
          <w:p>
            <w:pPr>
              <w:jc w:val="left"/>
              <w:rPr>
                <w:rFonts w:hint="eastAsia"/>
                <w:color w:val="auto"/>
                <w:szCs w:val="21"/>
                <w:highlight w:val="none"/>
              </w:rPr>
            </w:pPr>
            <w:r>
              <w:rPr>
                <w:rFonts w:hint="eastAsia"/>
                <w:color w:val="auto"/>
                <w:szCs w:val="21"/>
                <w:highlight w:val="none"/>
              </w:rPr>
              <w:t>（1）售后服务机构及维护人员配置；</w:t>
            </w:r>
          </w:p>
          <w:p>
            <w:pPr>
              <w:jc w:val="left"/>
              <w:rPr>
                <w:rFonts w:hint="eastAsia"/>
                <w:color w:val="auto"/>
                <w:szCs w:val="21"/>
                <w:highlight w:val="none"/>
              </w:rPr>
            </w:pPr>
            <w:r>
              <w:rPr>
                <w:rFonts w:hint="eastAsia"/>
                <w:color w:val="auto"/>
                <w:szCs w:val="21"/>
                <w:highlight w:val="none"/>
              </w:rPr>
              <w:t>（2）维修维护方案；</w:t>
            </w:r>
          </w:p>
          <w:p>
            <w:pPr>
              <w:jc w:val="left"/>
              <w:rPr>
                <w:rFonts w:hint="eastAsia"/>
                <w:color w:val="auto"/>
                <w:szCs w:val="21"/>
                <w:highlight w:val="none"/>
              </w:rPr>
            </w:pPr>
            <w:r>
              <w:rPr>
                <w:rFonts w:hint="eastAsia"/>
                <w:color w:val="auto"/>
                <w:szCs w:val="21"/>
                <w:highlight w:val="none"/>
              </w:rPr>
              <w:t>（3）技术培训方案；</w:t>
            </w:r>
          </w:p>
          <w:p>
            <w:pPr>
              <w:jc w:val="left"/>
              <w:rPr>
                <w:rFonts w:hint="eastAsia"/>
                <w:color w:val="auto"/>
                <w:szCs w:val="21"/>
                <w:highlight w:val="none"/>
              </w:rPr>
            </w:pPr>
            <w:r>
              <w:rPr>
                <w:rFonts w:hint="eastAsia"/>
                <w:color w:val="auto"/>
                <w:szCs w:val="21"/>
                <w:highlight w:val="none"/>
              </w:rPr>
              <w:t>（4）备品备件支持计划。</w:t>
            </w:r>
          </w:p>
          <w:p>
            <w:pPr>
              <w:jc w:val="left"/>
              <w:rPr>
                <w:rFonts w:hint="eastAsia"/>
                <w:color w:val="auto"/>
                <w:szCs w:val="21"/>
                <w:highlight w:val="none"/>
              </w:rPr>
            </w:pPr>
            <w:r>
              <w:rPr>
                <w:rFonts w:hint="eastAsia"/>
                <w:color w:val="auto"/>
                <w:szCs w:val="21"/>
                <w:highlight w:val="none"/>
              </w:rPr>
              <w:t xml:space="preserve">（二）评分标准： </w:t>
            </w:r>
          </w:p>
          <w:p>
            <w:pPr>
              <w:jc w:val="left"/>
              <w:rPr>
                <w:rFonts w:hint="eastAsia"/>
                <w:color w:val="auto"/>
                <w:szCs w:val="21"/>
                <w:highlight w:val="none"/>
              </w:rPr>
            </w:pPr>
            <w:r>
              <w:rPr>
                <w:rFonts w:hint="eastAsia"/>
                <w:color w:val="auto"/>
                <w:szCs w:val="21"/>
                <w:highlight w:val="none"/>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rFonts w:hint="eastAsia"/>
                <w:color w:val="auto"/>
                <w:szCs w:val="21"/>
                <w:highlight w:val="none"/>
              </w:rPr>
            </w:pPr>
            <w:r>
              <w:rPr>
                <w:rFonts w:hint="eastAsia"/>
                <w:color w:val="auto"/>
                <w:szCs w:val="21"/>
                <w:highlight w:val="none"/>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rFonts w:hint="eastAsia"/>
                <w:color w:val="auto"/>
                <w:szCs w:val="21"/>
                <w:highlight w:val="none"/>
              </w:rPr>
            </w:pPr>
            <w:r>
              <w:rPr>
                <w:rFonts w:hint="eastAsia"/>
                <w:color w:val="auto"/>
                <w:szCs w:val="21"/>
                <w:highlight w:val="none"/>
              </w:rPr>
              <w:t>3.培训内容完善、培训计划周全、安排合理的得1.5分；培训内容较完善、培训计划笼统的得1分：培训方案笼统、与本项目内容有偏差的得0.5分；未提供培训计划的得0分；</w:t>
            </w:r>
          </w:p>
          <w:p>
            <w:pPr>
              <w:jc w:val="left"/>
              <w:rPr>
                <w:rFonts w:hint="eastAsia"/>
                <w:color w:val="auto"/>
                <w:szCs w:val="21"/>
                <w:highlight w:val="none"/>
              </w:rPr>
            </w:pPr>
            <w:r>
              <w:rPr>
                <w:rFonts w:hint="eastAsia"/>
                <w:color w:val="auto"/>
                <w:szCs w:val="21"/>
                <w:highlight w:val="none"/>
              </w:rPr>
              <w:t>4.响应速度快、备品备件齐全的得1.5分；响应速度较快、备品备件较齐全的得1分；响应速度慢、备品备件不够齐全的得 0.5分：未提供的不得分。</w:t>
            </w:r>
          </w:p>
          <w:p>
            <w:pPr>
              <w:jc w:val="left"/>
              <w:rPr>
                <w:rFonts w:hint="eastAsia"/>
                <w:color w:val="auto"/>
                <w:szCs w:val="21"/>
                <w:highlight w:val="none"/>
              </w:rPr>
            </w:pPr>
            <w:r>
              <w:rPr>
                <w:rFonts w:hint="eastAsia"/>
                <w:color w:val="auto"/>
                <w:szCs w:val="21"/>
                <w:highlight w:val="none"/>
              </w:rPr>
              <w:t>以上4项合计最高6分。</w:t>
            </w:r>
          </w:p>
        </w:tc>
        <w:tc>
          <w:tcPr>
            <w:tcW w:w="1187" w:type="dxa"/>
            <w:vAlign w:val="center"/>
          </w:tcPr>
          <w:p>
            <w:pPr>
              <w:jc w:val="center"/>
              <w:rPr>
                <w:rFonts w:hint="eastAsia"/>
                <w:color w:val="auto"/>
                <w:szCs w:val="21"/>
                <w:highlight w:val="none"/>
              </w:rPr>
            </w:pPr>
            <w:r>
              <w:rPr>
                <w:rFonts w:hint="eastAsia"/>
                <w:color w:val="auto"/>
                <w:szCs w:val="21"/>
                <w:highlight w:val="none"/>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rFonts w:hint="eastAsia"/>
                <w:b/>
                <w:bCs/>
                <w:color w:val="auto"/>
                <w:szCs w:val="21"/>
                <w:highlight w:val="none"/>
              </w:rPr>
            </w:pPr>
            <w:r>
              <w:rPr>
                <w:rFonts w:hint="eastAsia"/>
                <w:b/>
                <w:bCs/>
                <w:color w:val="auto"/>
                <w:szCs w:val="21"/>
                <w:highlight w:val="none"/>
              </w:rPr>
              <w:t>三、商务部分</w:t>
            </w:r>
          </w:p>
        </w:tc>
        <w:tc>
          <w:tcPr>
            <w:tcW w:w="1187" w:type="dxa"/>
            <w:vAlign w:val="center"/>
          </w:tcPr>
          <w:p>
            <w:pPr>
              <w:autoSpaceDE w:val="0"/>
              <w:autoSpaceDN w:val="0"/>
              <w:jc w:val="center"/>
              <w:rPr>
                <w:rFonts w:hint="eastAsia"/>
                <w:b/>
                <w:bCs/>
                <w:color w:val="auto"/>
                <w:szCs w:val="21"/>
                <w:highlight w:val="none"/>
              </w:rPr>
            </w:pPr>
            <w:r>
              <w:rPr>
                <w:rFonts w:hint="eastAsia"/>
                <w:b/>
                <w:bCs/>
                <w:color w:val="auto"/>
                <w:szCs w:val="21"/>
                <w:highlight w:val="none"/>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rFonts w:hint="eastAsia"/>
                <w:color w:val="auto"/>
                <w:szCs w:val="21"/>
                <w:highlight w:val="none"/>
              </w:rPr>
            </w:pPr>
            <w:r>
              <w:rPr>
                <w:rFonts w:hint="eastAsia"/>
                <w:color w:val="auto"/>
                <w:szCs w:val="21"/>
                <w:highlight w:val="none"/>
              </w:rPr>
              <w:t>序号</w:t>
            </w:r>
          </w:p>
        </w:tc>
        <w:tc>
          <w:tcPr>
            <w:tcW w:w="1143" w:type="dxa"/>
            <w:vAlign w:val="center"/>
          </w:tcPr>
          <w:p>
            <w:pPr>
              <w:autoSpaceDE w:val="0"/>
              <w:autoSpaceDN w:val="0"/>
              <w:jc w:val="center"/>
              <w:rPr>
                <w:rFonts w:hint="eastAsia"/>
                <w:color w:val="auto"/>
                <w:szCs w:val="21"/>
                <w:highlight w:val="none"/>
              </w:rPr>
            </w:pPr>
            <w:r>
              <w:rPr>
                <w:rFonts w:hint="eastAsia"/>
                <w:color w:val="auto"/>
                <w:szCs w:val="21"/>
                <w:highlight w:val="none"/>
              </w:rPr>
              <w:t>内容</w:t>
            </w:r>
          </w:p>
        </w:tc>
        <w:tc>
          <w:tcPr>
            <w:tcW w:w="709" w:type="dxa"/>
            <w:vAlign w:val="center"/>
          </w:tcPr>
          <w:p>
            <w:pPr>
              <w:autoSpaceDE w:val="0"/>
              <w:autoSpaceDN w:val="0"/>
              <w:jc w:val="center"/>
              <w:rPr>
                <w:rFonts w:hint="eastAsia"/>
                <w:color w:val="auto"/>
                <w:szCs w:val="21"/>
                <w:highlight w:val="none"/>
              </w:rPr>
            </w:pPr>
            <w:r>
              <w:rPr>
                <w:rFonts w:hint="eastAsia"/>
                <w:color w:val="auto"/>
                <w:szCs w:val="21"/>
                <w:highlight w:val="none"/>
              </w:rPr>
              <w:t>权重</w:t>
            </w:r>
          </w:p>
        </w:tc>
        <w:tc>
          <w:tcPr>
            <w:tcW w:w="5953" w:type="dxa"/>
            <w:vAlign w:val="center"/>
          </w:tcPr>
          <w:p>
            <w:pPr>
              <w:autoSpaceDE w:val="0"/>
              <w:autoSpaceDN w:val="0"/>
              <w:jc w:val="center"/>
              <w:rPr>
                <w:rFonts w:hint="eastAsia"/>
                <w:color w:val="auto"/>
                <w:szCs w:val="21"/>
                <w:highlight w:val="none"/>
              </w:rPr>
            </w:pPr>
            <w:r>
              <w:rPr>
                <w:rFonts w:hint="eastAsia"/>
                <w:color w:val="auto"/>
                <w:szCs w:val="21"/>
                <w:highlight w:val="none"/>
              </w:rPr>
              <w:t>评分规则</w:t>
            </w:r>
          </w:p>
        </w:tc>
        <w:tc>
          <w:tcPr>
            <w:tcW w:w="1187" w:type="dxa"/>
            <w:vAlign w:val="center"/>
          </w:tcPr>
          <w:p>
            <w:pPr>
              <w:autoSpaceDE w:val="0"/>
              <w:autoSpaceDN w:val="0"/>
              <w:jc w:val="center"/>
              <w:rPr>
                <w:rFonts w:hint="eastAsia"/>
                <w:color w:val="auto"/>
                <w:szCs w:val="21"/>
                <w:highlight w:val="none"/>
              </w:rPr>
            </w:pPr>
            <w:r>
              <w:rPr>
                <w:rFonts w:hint="eastAsia"/>
                <w:color w:val="auto"/>
                <w:szCs w:val="21"/>
                <w:highlight w:val="none"/>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rFonts w:hint="eastAsia"/>
                <w:color w:val="auto"/>
                <w:szCs w:val="21"/>
                <w:highlight w:val="none"/>
              </w:rPr>
            </w:pPr>
            <w:r>
              <w:rPr>
                <w:rFonts w:hint="eastAsia"/>
                <w:color w:val="auto"/>
                <w:szCs w:val="21"/>
                <w:highlight w:val="none"/>
              </w:rPr>
              <w:t>1</w:t>
            </w:r>
          </w:p>
        </w:tc>
        <w:tc>
          <w:tcPr>
            <w:tcW w:w="1143" w:type="dxa"/>
            <w:vAlign w:val="center"/>
          </w:tcPr>
          <w:p>
            <w:pPr>
              <w:jc w:val="center"/>
              <w:rPr>
                <w:rFonts w:hint="eastAsia"/>
                <w:color w:val="auto"/>
                <w:szCs w:val="21"/>
                <w:highlight w:val="none"/>
              </w:rPr>
            </w:pPr>
            <w:r>
              <w:rPr>
                <w:rFonts w:hint="eastAsia"/>
                <w:color w:val="auto"/>
                <w:szCs w:val="21"/>
                <w:highlight w:val="none"/>
              </w:rPr>
              <w:t>商务需求条款偏离情况</w:t>
            </w:r>
          </w:p>
        </w:tc>
        <w:tc>
          <w:tcPr>
            <w:tcW w:w="709" w:type="dxa"/>
            <w:vAlign w:val="center"/>
          </w:tcPr>
          <w:p>
            <w:pPr>
              <w:jc w:val="center"/>
              <w:rPr>
                <w:rFonts w:hint="eastAsia"/>
                <w:color w:val="auto"/>
                <w:szCs w:val="21"/>
                <w:highlight w:val="none"/>
              </w:rPr>
            </w:pPr>
            <w:r>
              <w:rPr>
                <w:rFonts w:hint="eastAsia"/>
                <w:color w:val="auto"/>
                <w:szCs w:val="21"/>
                <w:highlight w:val="none"/>
              </w:rPr>
              <w:t>4</w:t>
            </w:r>
          </w:p>
        </w:tc>
        <w:tc>
          <w:tcPr>
            <w:tcW w:w="5953" w:type="dxa"/>
            <w:vAlign w:val="center"/>
          </w:tcPr>
          <w:p>
            <w:pPr>
              <w:autoSpaceDE w:val="0"/>
              <w:autoSpaceDN w:val="0"/>
              <w:jc w:val="left"/>
              <w:rPr>
                <w:rFonts w:hint="eastAsia"/>
                <w:color w:val="auto"/>
                <w:szCs w:val="21"/>
                <w:highlight w:val="none"/>
              </w:rPr>
            </w:pPr>
            <w:r>
              <w:rPr>
                <w:rFonts w:hint="eastAsia"/>
                <w:color w:val="auto"/>
                <w:szCs w:val="21"/>
                <w:highlight w:val="none"/>
              </w:rPr>
              <w:t>投标人应如实填写《商务条款偏离表》，评审委员会根据服务条款响应情况进行评审：</w:t>
            </w:r>
          </w:p>
          <w:p>
            <w:pPr>
              <w:jc w:val="left"/>
              <w:rPr>
                <w:rFonts w:hint="eastAsia"/>
                <w:color w:val="auto"/>
                <w:szCs w:val="21"/>
                <w:highlight w:val="none"/>
              </w:rPr>
            </w:pPr>
            <w:r>
              <w:rPr>
                <w:rFonts w:hint="eastAsia"/>
                <w:color w:val="auto"/>
                <w:szCs w:val="21"/>
                <w:highlight w:val="none"/>
              </w:rPr>
              <w:t>完全满足招标文件商务要求，应答完整的得4分；“★”为不可偏离条款；以此为基础，投标人一般商务响应低于招标文件规定的，每有一项减0.8分。本项最低得0分。</w:t>
            </w:r>
          </w:p>
          <w:p>
            <w:pPr>
              <w:autoSpaceDE w:val="0"/>
              <w:autoSpaceDN w:val="0"/>
              <w:jc w:val="left"/>
              <w:rPr>
                <w:rFonts w:hint="eastAsia"/>
                <w:color w:val="auto"/>
                <w:szCs w:val="21"/>
                <w:highlight w:val="none"/>
              </w:rPr>
            </w:pPr>
            <w:r>
              <w:rPr>
                <w:rFonts w:hint="eastAsia"/>
                <w:color w:val="auto"/>
                <w:szCs w:val="21"/>
                <w:highlight w:val="none"/>
              </w:rPr>
              <w:t>商务要求中包含子项条款的，按子项条款响应情况逐项评分。</w:t>
            </w:r>
          </w:p>
        </w:tc>
        <w:tc>
          <w:tcPr>
            <w:tcW w:w="1187" w:type="dxa"/>
            <w:vAlign w:val="center"/>
          </w:tcPr>
          <w:p>
            <w:pPr>
              <w:autoSpaceDE w:val="0"/>
              <w:autoSpaceDN w:val="0"/>
              <w:jc w:val="center"/>
              <w:rPr>
                <w:rFonts w:hint="eastAsia"/>
                <w:color w:val="auto"/>
                <w:szCs w:val="21"/>
                <w:highlight w:val="none"/>
              </w:rPr>
            </w:pPr>
            <w:r>
              <w:rPr>
                <w:rFonts w:hint="eastAsia"/>
                <w:color w:val="auto"/>
                <w:szCs w:val="21"/>
                <w:highlight w:val="none"/>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color w:val="auto"/>
                <w:szCs w:val="21"/>
                <w:highlight w:val="none"/>
              </w:rPr>
            </w:pPr>
            <w:r>
              <w:rPr>
                <w:rFonts w:hint="eastAsia"/>
                <w:color w:val="auto"/>
                <w:szCs w:val="21"/>
                <w:highlight w:val="none"/>
              </w:rPr>
              <w:t>2</w:t>
            </w:r>
          </w:p>
        </w:tc>
        <w:tc>
          <w:tcPr>
            <w:tcW w:w="1143" w:type="dxa"/>
            <w:vAlign w:val="center"/>
          </w:tcPr>
          <w:p>
            <w:pPr>
              <w:jc w:val="center"/>
              <w:rPr>
                <w:rFonts w:hint="eastAsia"/>
                <w:color w:val="auto"/>
                <w:szCs w:val="21"/>
                <w:highlight w:val="none"/>
              </w:rPr>
            </w:pPr>
            <w:r>
              <w:rPr>
                <w:rFonts w:hint="eastAsia"/>
                <w:color w:val="auto"/>
                <w:szCs w:val="21"/>
                <w:highlight w:val="none"/>
              </w:rPr>
              <w:t>同类项目业绩情况</w:t>
            </w:r>
          </w:p>
        </w:tc>
        <w:tc>
          <w:tcPr>
            <w:tcW w:w="709" w:type="dxa"/>
            <w:vAlign w:val="center"/>
          </w:tcPr>
          <w:p>
            <w:pPr>
              <w:jc w:val="center"/>
              <w:rPr>
                <w:rFonts w:hint="eastAsia"/>
                <w:color w:val="auto"/>
                <w:szCs w:val="21"/>
                <w:highlight w:val="none"/>
              </w:rPr>
            </w:pPr>
            <w:r>
              <w:rPr>
                <w:rFonts w:hint="eastAsia"/>
                <w:color w:val="auto"/>
                <w:szCs w:val="21"/>
                <w:highlight w:val="none"/>
              </w:rPr>
              <w:t>3</w:t>
            </w:r>
          </w:p>
        </w:tc>
        <w:tc>
          <w:tcPr>
            <w:tcW w:w="5953" w:type="dxa"/>
            <w:vAlign w:val="center"/>
          </w:tcPr>
          <w:p>
            <w:pPr>
              <w:pStyle w:val="188"/>
              <w:ind w:firstLine="0" w:firstLineChars="0"/>
              <w:rPr>
                <w:rFonts w:hint="eastAsia" w:ascii="宋体" w:hAnsi="宋体" w:cs="宋体"/>
                <w:color w:val="auto"/>
                <w:highlight w:val="none"/>
              </w:rPr>
            </w:pPr>
            <w:r>
              <w:rPr>
                <w:rFonts w:hint="eastAsia" w:ascii="宋体" w:hAnsi="宋体" w:cs="宋体"/>
                <w:color w:val="auto"/>
                <w:highlight w:val="none"/>
              </w:rPr>
              <w:t>（一）评分内容：</w:t>
            </w:r>
          </w:p>
          <w:p>
            <w:pPr>
              <w:rPr>
                <w:rFonts w:hint="eastAsia"/>
                <w:color w:val="auto"/>
                <w:szCs w:val="21"/>
                <w:highlight w:val="none"/>
              </w:rPr>
            </w:pPr>
            <w:r>
              <w:rPr>
                <w:rFonts w:hint="eastAsia"/>
                <w:color w:val="auto"/>
                <w:szCs w:val="21"/>
                <w:highlight w:val="none"/>
              </w:rPr>
              <w:t>自2021年10月1日至本项目投标截止日，（以合同签订日期为准）投标人具有</w:t>
            </w:r>
            <w:r>
              <w:rPr>
                <w:rFonts w:hint="eastAsia"/>
                <w:color w:val="auto"/>
                <w:highlight w:val="none"/>
              </w:rPr>
              <w:t>农兽残检测全流程全自动样品前处理系统</w:t>
            </w:r>
            <w:r>
              <w:rPr>
                <w:rFonts w:hint="eastAsia"/>
                <w:color w:val="auto"/>
                <w:highlight w:val="none"/>
                <w:lang w:val="en-US" w:eastAsia="zh-CN"/>
              </w:rPr>
              <w:t>产品</w:t>
            </w:r>
            <w:r>
              <w:rPr>
                <w:rFonts w:hint="eastAsia"/>
                <w:color w:val="auto"/>
                <w:szCs w:val="21"/>
                <w:highlight w:val="none"/>
              </w:rPr>
              <w:t>销售业绩的，每提供1个项目得1分，最高得3分。</w:t>
            </w:r>
          </w:p>
          <w:p>
            <w:pPr>
              <w:autoSpaceDE w:val="0"/>
              <w:autoSpaceDN w:val="0"/>
              <w:jc w:val="left"/>
              <w:rPr>
                <w:rFonts w:hint="eastAsia"/>
                <w:color w:val="auto"/>
                <w:szCs w:val="21"/>
                <w:highlight w:val="none"/>
              </w:rPr>
            </w:pPr>
            <w:r>
              <w:rPr>
                <w:rFonts w:hint="eastAsia"/>
                <w:color w:val="auto"/>
                <w:szCs w:val="21"/>
                <w:highlight w:val="none"/>
              </w:rPr>
              <w:t>（二）评分依据：</w:t>
            </w:r>
          </w:p>
          <w:p>
            <w:pPr>
              <w:rPr>
                <w:rFonts w:hint="eastAsia"/>
                <w:color w:val="auto"/>
                <w:szCs w:val="21"/>
                <w:highlight w:val="none"/>
              </w:rPr>
            </w:pPr>
            <w:r>
              <w:rPr>
                <w:rFonts w:hint="eastAsia"/>
                <w:color w:val="auto"/>
                <w:szCs w:val="21"/>
                <w:highlight w:val="none"/>
              </w:rPr>
              <w:t>1. 提供合同关键页且各项信息不得有任何遮挡；</w:t>
            </w:r>
          </w:p>
          <w:p>
            <w:pPr>
              <w:rPr>
                <w:rFonts w:hint="eastAsia"/>
                <w:color w:val="auto"/>
                <w:szCs w:val="21"/>
                <w:highlight w:val="none"/>
              </w:rPr>
            </w:pPr>
            <w:r>
              <w:rPr>
                <w:rFonts w:hint="eastAsia"/>
                <w:color w:val="auto"/>
                <w:szCs w:val="21"/>
                <w:highlight w:val="none"/>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rFonts w:hint="eastAsia"/>
                <w:color w:val="auto"/>
                <w:szCs w:val="21"/>
                <w:highlight w:val="none"/>
              </w:rPr>
            </w:pPr>
            <w:r>
              <w:rPr>
                <w:rFonts w:hint="eastAsia"/>
                <w:color w:val="auto"/>
                <w:szCs w:val="21"/>
                <w:highlight w:val="none"/>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rFonts w:hint="eastAsia"/>
                <w:color w:val="auto"/>
                <w:szCs w:val="21"/>
                <w:highlight w:val="none"/>
              </w:rPr>
            </w:pPr>
            <w:r>
              <w:rPr>
                <w:rFonts w:hint="eastAsia"/>
                <w:color w:val="auto"/>
                <w:szCs w:val="21"/>
                <w:highlight w:val="none"/>
              </w:rPr>
              <w:t>3</w:t>
            </w:r>
          </w:p>
        </w:tc>
        <w:tc>
          <w:tcPr>
            <w:tcW w:w="1143" w:type="dxa"/>
            <w:vAlign w:val="center"/>
          </w:tcPr>
          <w:p>
            <w:pPr>
              <w:jc w:val="center"/>
              <w:rPr>
                <w:rFonts w:hint="eastAsia"/>
                <w:color w:val="auto"/>
                <w:szCs w:val="21"/>
                <w:highlight w:val="none"/>
              </w:rPr>
            </w:pPr>
            <w:r>
              <w:rPr>
                <w:rFonts w:hint="eastAsia"/>
                <w:color w:val="auto"/>
                <w:szCs w:val="21"/>
                <w:highlight w:val="none"/>
              </w:rPr>
              <w:t>相关认证情况</w:t>
            </w:r>
          </w:p>
        </w:tc>
        <w:tc>
          <w:tcPr>
            <w:tcW w:w="709" w:type="dxa"/>
            <w:vAlign w:val="center"/>
          </w:tcPr>
          <w:p>
            <w:pPr>
              <w:jc w:val="center"/>
              <w:rPr>
                <w:rFonts w:hint="eastAsia"/>
                <w:color w:val="auto"/>
                <w:szCs w:val="21"/>
                <w:highlight w:val="none"/>
              </w:rPr>
            </w:pPr>
            <w:r>
              <w:rPr>
                <w:rFonts w:hint="eastAsia"/>
                <w:color w:val="auto"/>
                <w:szCs w:val="21"/>
                <w:highlight w:val="none"/>
              </w:rPr>
              <w:t>3</w:t>
            </w:r>
          </w:p>
        </w:tc>
        <w:tc>
          <w:tcPr>
            <w:tcW w:w="5953" w:type="dxa"/>
            <w:vAlign w:val="center"/>
          </w:tcPr>
          <w:p>
            <w:pPr>
              <w:pStyle w:val="188"/>
              <w:ind w:firstLine="0" w:firstLineChars="0"/>
              <w:rPr>
                <w:rFonts w:hint="eastAsia" w:ascii="宋体" w:hAnsi="宋体" w:cs="宋体"/>
                <w:color w:val="auto"/>
                <w:highlight w:val="none"/>
              </w:rPr>
            </w:pPr>
            <w:r>
              <w:rPr>
                <w:rFonts w:hint="eastAsia" w:ascii="宋体" w:hAnsi="宋体" w:cs="宋体"/>
                <w:color w:val="auto"/>
                <w:highlight w:val="none"/>
              </w:rPr>
              <w:t>（一）评分内容：</w:t>
            </w:r>
          </w:p>
          <w:p>
            <w:pPr>
              <w:autoSpaceDE w:val="0"/>
              <w:autoSpaceDN w:val="0"/>
              <w:jc w:val="left"/>
              <w:rPr>
                <w:rFonts w:hint="eastAsia"/>
                <w:color w:val="auto"/>
                <w:szCs w:val="21"/>
                <w:highlight w:val="none"/>
              </w:rPr>
            </w:pPr>
            <w:r>
              <w:rPr>
                <w:rFonts w:hint="eastAsia"/>
                <w:color w:val="auto"/>
                <w:szCs w:val="21"/>
                <w:highlight w:val="none"/>
              </w:rPr>
              <w:t>所投产品生产厂家具有质量管理体系认证证书、环境管理体系认证证书、职业健康安全管理体系认证证书，每提供1个有效认证证书得1分，最高得3分。</w:t>
            </w:r>
          </w:p>
          <w:p>
            <w:pPr>
              <w:autoSpaceDE w:val="0"/>
              <w:autoSpaceDN w:val="0"/>
              <w:jc w:val="left"/>
              <w:rPr>
                <w:rFonts w:hint="eastAsia"/>
                <w:color w:val="auto"/>
                <w:szCs w:val="21"/>
                <w:highlight w:val="none"/>
              </w:rPr>
            </w:pPr>
            <w:r>
              <w:rPr>
                <w:rFonts w:hint="eastAsia"/>
                <w:color w:val="auto"/>
                <w:szCs w:val="21"/>
                <w:highlight w:val="none"/>
              </w:rPr>
              <w:t>（二）评分依据：</w:t>
            </w:r>
          </w:p>
          <w:p>
            <w:pPr>
              <w:autoSpaceDE w:val="0"/>
              <w:autoSpaceDN w:val="0"/>
              <w:jc w:val="left"/>
              <w:rPr>
                <w:rFonts w:hint="eastAsia"/>
                <w:color w:val="auto"/>
                <w:szCs w:val="21"/>
                <w:highlight w:val="none"/>
              </w:rPr>
            </w:pPr>
            <w:r>
              <w:rPr>
                <w:rFonts w:hint="eastAsia"/>
                <w:color w:val="auto"/>
                <w:szCs w:val="21"/>
                <w:highlight w:val="none"/>
              </w:rPr>
              <w:t>1. 提供有效认证证书（如认证证书注明年审要求的，必须按规定年审且证书在有效期内的方为有效；如未注明年审要求的，证书必须在有效期内的方为有效）；</w:t>
            </w:r>
          </w:p>
          <w:p>
            <w:pPr>
              <w:autoSpaceDE w:val="0"/>
              <w:autoSpaceDN w:val="0"/>
              <w:jc w:val="left"/>
              <w:rPr>
                <w:rFonts w:hint="eastAsia"/>
                <w:color w:val="auto"/>
                <w:szCs w:val="21"/>
                <w:highlight w:val="none"/>
              </w:rPr>
            </w:pPr>
            <w:r>
              <w:rPr>
                <w:rFonts w:hint="eastAsia"/>
                <w:color w:val="auto"/>
                <w:szCs w:val="21"/>
                <w:highlight w:val="none"/>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rFonts w:hint="eastAsia"/>
                <w:color w:val="auto"/>
                <w:szCs w:val="21"/>
                <w:highlight w:val="none"/>
              </w:rPr>
            </w:pPr>
            <w:r>
              <w:rPr>
                <w:rFonts w:hint="eastAsia"/>
                <w:color w:val="auto"/>
                <w:szCs w:val="21"/>
                <w:highlight w:val="none"/>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rFonts w:hint="eastAsia"/>
                <w:color w:val="auto"/>
                <w:szCs w:val="21"/>
                <w:highlight w:val="none"/>
              </w:rPr>
            </w:pPr>
            <w:r>
              <w:rPr>
                <w:rFonts w:hint="eastAsia"/>
                <w:color w:val="auto"/>
                <w:szCs w:val="21"/>
                <w:highlight w:val="none"/>
              </w:rPr>
              <w:t>评委打分</w:t>
            </w:r>
          </w:p>
        </w:tc>
      </w:tr>
    </w:tbl>
    <w:p>
      <w:pPr>
        <w:tabs>
          <w:tab w:val="clear" w:pos="426"/>
        </w:tabs>
        <w:spacing w:line="240" w:lineRule="auto"/>
        <w:rPr>
          <w:rFonts w:hint="eastAsia"/>
          <w:highlight w:val="none"/>
        </w:rPr>
      </w:pPr>
      <w:r>
        <w:rPr>
          <w:rFonts w:hint="eastAsia"/>
          <w:highlight w:val="none"/>
        </w:rPr>
        <w:t>备注：</w:t>
      </w:r>
    </w:p>
    <w:p>
      <w:pPr>
        <w:tabs>
          <w:tab w:val="clear" w:pos="426"/>
        </w:tabs>
        <w:spacing w:line="240" w:lineRule="auto"/>
        <w:ind w:firstLine="420" w:firstLineChars="200"/>
        <w:rPr>
          <w:rFonts w:hint="eastAsia"/>
          <w:highlight w:val="none"/>
        </w:rPr>
      </w:pPr>
      <w:r>
        <w:rPr>
          <w:rFonts w:hint="eastAsia"/>
          <w:highlight w:val="none"/>
        </w:rPr>
        <w:t>1. 缺项则该项为0分或不合格为0分。</w:t>
      </w:r>
    </w:p>
    <w:p>
      <w:pPr>
        <w:tabs>
          <w:tab w:val="clear" w:pos="426"/>
        </w:tabs>
        <w:spacing w:line="240" w:lineRule="auto"/>
        <w:ind w:firstLine="420" w:firstLineChars="200"/>
        <w:rPr>
          <w:rFonts w:hint="eastAsia"/>
          <w:highlight w:val="none"/>
        </w:rPr>
      </w:pPr>
      <w:r>
        <w:rPr>
          <w:rFonts w:hint="eastAsia"/>
          <w:highlight w:val="none"/>
        </w:rPr>
        <w:t>2.</w:t>
      </w:r>
      <w:r>
        <w:rPr>
          <w:highlight w:val="none"/>
        </w:rPr>
        <w:t xml:space="preserve"> 价格、技术、商务部分为针对项目具体情况设置项目，累加满分为100分，固定额外加分部分为固定设置项，对涉及政策导向优先采购产品进行额外加分</w:t>
      </w:r>
      <w:r>
        <w:rPr>
          <w:rFonts w:hint="eastAsia"/>
          <w:highlight w:val="none"/>
        </w:rPr>
        <w:t>。</w:t>
      </w:r>
    </w:p>
    <w:p>
      <w:pPr>
        <w:tabs>
          <w:tab w:val="clear" w:pos="426"/>
        </w:tabs>
        <w:spacing w:line="240" w:lineRule="auto"/>
        <w:ind w:firstLine="420" w:firstLineChars="200"/>
        <w:rPr>
          <w:rFonts w:hint="eastAsia"/>
          <w:highlight w:val="none"/>
        </w:rPr>
      </w:pPr>
      <w:r>
        <w:rPr>
          <w:rFonts w:hint="eastAsia"/>
          <w:highlight w:val="none"/>
        </w:rPr>
        <w:t>3. 综合以上分析比较，评委会将对各投标文件进行书面的量化评定，得分</w:t>
      </w:r>
      <w:r>
        <w:rPr>
          <w:highlight w:val="none"/>
        </w:rPr>
        <w:t>精确到小数点后两位</w:t>
      </w:r>
      <w:r>
        <w:rPr>
          <w:rFonts w:hint="eastAsia"/>
          <w:highlight w:val="none"/>
        </w:rPr>
        <w:t>。</w:t>
      </w:r>
    </w:p>
    <w:p>
      <w:pPr>
        <w:tabs>
          <w:tab w:val="clear" w:pos="426"/>
        </w:tabs>
        <w:spacing w:line="240" w:lineRule="auto"/>
        <w:ind w:firstLine="420" w:firstLineChars="200"/>
        <w:rPr>
          <w:rFonts w:hint="eastAsia"/>
          <w:highlight w:val="none"/>
        </w:rPr>
      </w:pPr>
      <w:r>
        <w:rPr>
          <w:rFonts w:hint="eastAsia"/>
          <w:highlight w:val="none"/>
        </w:rPr>
        <w:t>4. 客观评分项，所有评审专家应当统一打分分值；主观评分项，评审专家应当按照打分标准独立打分。</w:t>
      </w:r>
    </w:p>
    <w:p>
      <w:pPr>
        <w:rPr>
          <w:rFonts w:hint="eastAsia"/>
          <w:highlight w:val="none"/>
        </w:rPr>
      </w:pPr>
    </w:p>
    <w:p>
      <w:pPr>
        <w:rPr>
          <w:rFonts w:hint="eastAsia"/>
          <w:highlight w:val="none"/>
        </w:rPr>
      </w:pPr>
    </w:p>
    <w:p>
      <w:pPr>
        <w:rPr>
          <w:rFonts w:hint="eastAsia"/>
          <w:highlight w:val="none"/>
        </w:rPr>
      </w:pPr>
      <w:r>
        <w:rPr>
          <w:rFonts w:hint="eastAsia"/>
          <w:highlight w:val="none"/>
        </w:rPr>
        <w:br w:type="page"/>
      </w:r>
    </w:p>
    <w:p>
      <w:pPr>
        <w:pStyle w:val="62"/>
        <w:rPr>
          <w:highlight w:val="none"/>
        </w:rPr>
      </w:pPr>
      <w:bookmarkStart w:id="59" w:name="_Toc26041"/>
      <w:r>
        <w:rPr>
          <w:rFonts w:hint="eastAsia"/>
          <w:highlight w:val="none"/>
        </w:rPr>
        <w:t>前附表（四）</w:t>
      </w:r>
      <w:bookmarkEnd w:id="59"/>
    </w:p>
    <w:p>
      <w:pPr>
        <w:adjustRightInd/>
        <w:snapToGrid/>
        <w:spacing w:before="280" w:after="290" w:line="377" w:lineRule="auto"/>
        <w:jc w:val="left"/>
        <w:outlineLvl w:val="2"/>
        <w:rPr>
          <w:rFonts w:hint="eastAsia"/>
          <w:b/>
          <w:sz w:val="24"/>
          <w:highlight w:val="none"/>
        </w:rPr>
      </w:pPr>
      <w:bookmarkStart w:id="60" w:name="_Toc12567"/>
      <w:r>
        <w:rPr>
          <w:rFonts w:hint="eastAsia"/>
          <w:b/>
          <w:sz w:val="24"/>
          <w:highlight w:val="none"/>
        </w:rPr>
        <w:t>1.资格审查</w:t>
      </w:r>
      <w:bookmarkEnd w:id="60"/>
    </w:p>
    <w:p>
      <w:pPr>
        <w:tabs>
          <w:tab w:val="clear" w:pos="426"/>
        </w:tabs>
        <w:spacing w:line="300" w:lineRule="auto"/>
        <w:ind w:firstLine="420" w:firstLineChars="200"/>
        <w:rPr>
          <w:rFonts w:hint="eastAsia"/>
          <w:highlight w:val="none"/>
        </w:rPr>
      </w:pPr>
      <w:r>
        <w:rPr>
          <w:rFonts w:hint="eastAsia"/>
          <w:highlight w:val="none"/>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highlight w:val="none"/>
        </w:rPr>
      </w:pPr>
      <w:bookmarkStart w:id="61" w:name="_Toc1724"/>
      <w:r>
        <w:rPr>
          <w:rFonts w:hint="eastAsia"/>
          <w:b/>
          <w:sz w:val="24"/>
          <w:highlight w:val="none"/>
        </w:rPr>
        <w:t>2.评标方法</w:t>
      </w:r>
      <w:bookmarkEnd w:id="61"/>
    </w:p>
    <w:p>
      <w:pPr>
        <w:tabs>
          <w:tab w:val="clear" w:pos="426"/>
        </w:tabs>
        <w:spacing w:line="300" w:lineRule="auto"/>
        <w:ind w:firstLine="420" w:firstLineChars="200"/>
        <w:rPr>
          <w:rFonts w:hint="eastAsia"/>
          <w:highlight w:val="none"/>
        </w:rPr>
      </w:pPr>
      <w:r>
        <w:rPr>
          <w:rFonts w:hint="eastAsia"/>
          <w:highlight w:val="none"/>
        </w:rPr>
        <w:t>2.1本项目评标方法为：综合评分法</w:t>
      </w:r>
    </w:p>
    <w:p>
      <w:pPr>
        <w:tabs>
          <w:tab w:val="clear" w:pos="426"/>
        </w:tabs>
        <w:spacing w:line="300" w:lineRule="auto"/>
        <w:ind w:firstLine="420" w:firstLineChars="200"/>
        <w:rPr>
          <w:rFonts w:hint="eastAsia"/>
          <w:highlight w:val="none"/>
        </w:rPr>
      </w:pPr>
      <w:r>
        <w:rPr>
          <w:rFonts w:hint="eastAsia"/>
          <w:highlight w:val="none"/>
        </w:rPr>
        <w:t>中标人数量为：1家；中标候选人数量为：3家。</w:t>
      </w:r>
    </w:p>
    <w:p>
      <w:pPr>
        <w:tabs>
          <w:tab w:val="clear" w:pos="426"/>
        </w:tabs>
        <w:spacing w:line="300" w:lineRule="auto"/>
        <w:ind w:firstLine="420" w:firstLineChars="200"/>
        <w:rPr>
          <w:rFonts w:hint="eastAsia"/>
          <w:highlight w:val="none"/>
        </w:rPr>
      </w:pPr>
      <w:r>
        <w:rPr>
          <w:rFonts w:hint="eastAsia"/>
          <w:highlight w:val="none"/>
        </w:rPr>
        <w:t>综合评分法，是指投标文件满足招标文件全部实质性要求，且按照评审因素的量化指标评审得分最高的投标人为候选中标人的评标方法。</w:t>
      </w:r>
    </w:p>
    <w:p>
      <w:pPr>
        <w:tabs>
          <w:tab w:val="clear" w:pos="426"/>
        </w:tabs>
        <w:spacing w:line="300" w:lineRule="auto"/>
        <w:ind w:firstLine="420" w:firstLineChars="200"/>
        <w:rPr>
          <w:rFonts w:hint="eastAsia"/>
          <w:highlight w:val="none"/>
        </w:rPr>
      </w:pPr>
      <w:r>
        <w:rPr>
          <w:rFonts w:hint="eastAsia"/>
          <w:highlight w:val="none"/>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2" w:firstLineChars="200"/>
        <w:rPr>
          <w:rFonts w:hint="eastAsia"/>
          <w:b/>
          <w:bCs/>
          <w:highlight w:val="none"/>
        </w:rPr>
      </w:pPr>
      <w:r>
        <w:rPr>
          <w:rFonts w:hint="eastAsia"/>
          <w:b/>
          <w:bCs/>
          <w:highlight w:val="none"/>
        </w:rPr>
        <w:t>2.3公开招标的货物、服务采购项目，招标过程中提交投标文件或者经评审实质性响应招标文件要求的供应商只有两家时，经评审委员会审核采购文件无歧视性、排他性等不合理条款，可现场直接转为与该两家供应商进行竞争性谈判采购。（《深圳海关非政府采购管理办法》第二十七条）</w:t>
      </w:r>
    </w:p>
    <w:p>
      <w:pPr>
        <w:tabs>
          <w:tab w:val="clear" w:pos="426"/>
        </w:tabs>
        <w:spacing w:line="300" w:lineRule="auto"/>
        <w:ind w:firstLine="420" w:firstLineChars="200"/>
        <w:rPr>
          <w:rFonts w:hint="eastAsia"/>
          <w:highlight w:val="none"/>
        </w:rPr>
      </w:pPr>
      <w:r>
        <w:rPr>
          <w:rFonts w:hint="eastAsia"/>
          <w:highlight w:val="none"/>
        </w:rPr>
        <w:t>2.4价格分计算方法</w:t>
      </w:r>
    </w:p>
    <w:p>
      <w:pPr>
        <w:tabs>
          <w:tab w:val="clear" w:pos="426"/>
        </w:tabs>
        <w:spacing w:line="300" w:lineRule="auto"/>
        <w:ind w:firstLine="420" w:firstLineChars="200"/>
        <w:rPr>
          <w:rFonts w:hint="eastAsia"/>
          <w:highlight w:val="none"/>
        </w:rPr>
      </w:pPr>
      <w:r>
        <w:rPr>
          <w:rFonts w:hint="eastAsia"/>
          <w:highlight w:val="none"/>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rFonts w:hint="eastAsia"/>
          <w:highlight w:val="none"/>
        </w:rPr>
      </w:pPr>
      <w:r>
        <w:rPr>
          <w:rFonts w:hint="eastAsia"/>
          <w:highlight w:val="none"/>
        </w:rPr>
        <w:t>投标报价得分=(评标基准价／投标报价)×30</w:t>
      </w:r>
    </w:p>
    <w:p>
      <w:pPr>
        <w:tabs>
          <w:tab w:val="clear" w:pos="426"/>
        </w:tabs>
        <w:spacing w:line="300" w:lineRule="auto"/>
        <w:ind w:firstLine="420" w:firstLineChars="200"/>
        <w:rPr>
          <w:rFonts w:hint="eastAsia"/>
          <w:highlight w:val="none"/>
        </w:rPr>
      </w:pPr>
      <w:r>
        <w:rPr>
          <w:rFonts w:hint="eastAsia"/>
          <w:highlight w:val="none"/>
        </w:rPr>
        <w:t>2.5评标优惠政策</w:t>
      </w:r>
    </w:p>
    <w:p>
      <w:pPr>
        <w:tabs>
          <w:tab w:val="clear" w:pos="426"/>
        </w:tabs>
        <w:spacing w:line="300" w:lineRule="auto"/>
        <w:ind w:firstLine="422" w:firstLineChars="200"/>
        <w:rPr>
          <w:rFonts w:hint="eastAsia"/>
          <w:b/>
          <w:bCs/>
          <w:szCs w:val="21"/>
          <w:highlight w:val="none"/>
        </w:rPr>
      </w:pPr>
      <w:r>
        <w:rPr>
          <w:rFonts w:hint="eastAsia"/>
          <w:b/>
          <w:bCs/>
          <w:highlight w:val="none"/>
        </w:rPr>
        <w:t>本项目采购标的对应</w:t>
      </w:r>
      <w:r>
        <w:rPr>
          <w:rFonts w:hint="eastAsia"/>
          <w:b/>
          <w:bCs/>
          <w:szCs w:val="21"/>
          <w:highlight w:val="none"/>
        </w:rPr>
        <w:t>的中小企业划分标准所属行业为</w:t>
      </w:r>
      <w:r>
        <w:rPr>
          <w:rFonts w:hint="eastAsia"/>
          <w:b/>
          <w:bCs/>
          <w:szCs w:val="21"/>
          <w:highlight w:val="none"/>
          <w:u w:val="single"/>
        </w:rPr>
        <w:t>工业</w:t>
      </w:r>
      <w:r>
        <w:rPr>
          <w:rFonts w:hint="eastAsia"/>
          <w:b/>
          <w:bCs/>
          <w:szCs w:val="21"/>
          <w:highlight w:val="none"/>
        </w:rPr>
        <w:t>。</w:t>
      </w:r>
    </w:p>
    <w:p>
      <w:pPr>
        <w:tabs>
          <w:tab w:val="clear" w:pos="426"/>
        </w:tabs>
        <w:spacing w:line="300" w:lineRule="auto"/>
        <w:ind w:firstLine="420" w:firstLineChars="200"/>
        <w:rPr>
          <w:rFonts w:hint="eastAsia"/>
          <w:szCs w:val="21"/>
          <w:highlight w:val="none"/>
        </w:rPr>
      </w:pPr>
      <w:r>
        <w:rPr>
          <w:highlight w:val="none"/>
        </w:rP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highlight w:val="none"/>
        </w:rPr>
        <w:t>扣除</w:t>
      </w:r>
      <w:r>
        <w:rPr>
          <w:rFonts w:hint="eastAsia"/>
          <w:b/>
          <w:bCs/>
          <w:highlight w:val="none"/>
          <w:u w:val="single"/>
          <w:lang w:val="en-US" w:eastAsia="zh-CN"/>
        </w:rPr>
        <w:t>10</w:t>
      </w:r>
      <w:r>
        <w:rPr>
          <w:b/>
          <w:bCs/>
          <w:highlight w:val="none"/>
          <w:u w:val="single"/>
        </w:rPr>
        <w:t>%</w:t>
      </w:r>
      <w:r>
        <w:rPr>
          <w:highlight w:val="none"/>
        </w:rPr>
        <w:t>后参与评审。对于同时属于小微企业、监狱</w:t>
      </w:r>
      <w:r>
        <w:rPr>
          <w:szCs w:val="21"/>
          <w:highlight w:val="none"/>
        </w:rPr>
        <w:t>企业或残疾人福利性</w:t>
      </w:r>
      <w:r>
        <w:rPr>
          <w:rFonts w:hint="eastAsia"/>
          <w:szCs w:val="21"/>
          <w:highlight w:val="none"/>
        </w:rPr>
        <w:t>单位的，不重复进行投标报价扣除。如有其它政策支持因素（如鼓励创新等）需一并列出。</w:t>
      </w:r>
    </w:p>
    <w:p>
      <w:pPr>
        <w:tabs>
          <w:tab w:val="clear" w:pos="426"/>
        </w:tabs>
        <w:spacing w:line="300" w:lineRule="auto"/>
        <w:ind w:firstLine="420" w:firstLineChars="200"/>
        <w:rPr>
          <w:rFonts w:hint="eastAsia"/>
          <w:szCs w:val="21"/>
          <w:highlight w:val="none"/>
        </w:rPr>
      </w:pPr>
      <w:r>
        <w:rPr>
          <w:rFonts w:hint="eastAsia"/>
          <w:szCs w:val="21"/>
          <w:highlight w:val="none"/>
        </w:rPr>
        <w:t>2.6</w:t>
      </w:r>
      <w:r>
        <w:rPr>
          <w:szCs w:val="21"/>
          <w:highlight w:val="none"/>
        </w:rPr>
        <w:t>其他需要落实的政府采购政策</w:t>
      </w:r>
    </w:p>
    <w:p>
      <w:pPr>
        <w:tabs>
          <w:tab w:val="clear" w:pos="426"/>
        </w:tabs>
        <w:spacing w:line="300" w:lineRule="auto"/>
        <w:ind w:firstLine="420" w:firstLineChars="200"/>
        <w:rPr>
          <w:rFonts w:hint="eastAsia"/>
          <w:szCs w:val="21"/>
          <w:highlight w:val="none"/>
        </w:rPr>
      </w:pPr>
      <w:r>
        <w:rPr>
          <w:szCs w:val="21"/>
          <w:highlight w:val="none"/>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rFonts w:hint="eastAsia"/>
          <w:szCs w:val="21"/>
          <w:highlight w:val="none"/>
        </w:rPr>
      </w:pPr>
      <w:r>
        <w:rPr>
          <w:szCs w:val="21"/>
          <w:highlight w:val="none"/>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rFonts w:hint="eastAsia"/>
          <w:szCs w:val="21"/>
          <w:highlight w:val="none"/>
        </w:rPr>
      </w:pPr>
      <w:r>
        <w:rPr>
          <w:rFonts w:hint="eastAsia"/>
          <w:szCs w:val="21"/>
          <w:highlight w:val="none"/>
        </w:rPr>
        <w:t>2.7</w:t>
      </w:r>
      <w:r>
        <w:rPr>
          <w:szCs w:val="21"/>
          <w:highlight w:val="none"/>
        </w:rPr>
        <w:t>评标专家应对通过投标文件初审进入评标程序的投标文件先评技术标、再评商务标；</w:t>
      </w:r>
    </w:p>
    <w:p>
      <w:pPr>
        <w:tabs>
          <w:tab w:val="clear" w:pos="426"/>
        </w:tabs>
        <w:spacing w:line="300" w:lineRule="auto"/>
        <w:ind w:firstLine="420" w:firstLineChars="200"/>
        <w:rPr>
          <w:rFonts w:hint="eastAsia"/>
          <w:szCs w:val="21"/>
          <w:highlight w:val="none"/>
        </w:rPr>
      </w:pPr>
      <w:r>
        <w:rPr>
          <w:rFonts w:hint="eastAsia"/>
          <w:szCs w:val="21"/>
          <w:highlight w:val="none"/>
        </w:rPr>
        <w:t>2.8</w:t>
      </w:r>
      <w:r>
        <w:rPr>
          <w:szCs w:val="21"/>
          <w:highlight w:val="none"/>
        </w:rPr>
        <w:t>评标专家需按招标文件规定的评审标准对投标</w:t>
      </w:r>
      <w:r>
        <w:rPr>
          <w:rFonts w:hint="eastAsia"/>
          <w:szCs w:val="21"/>
          <w:highlight w:val="none"/>
        </w:rPr>
        <w:t>供应商</w:t>
      </w:r>
      <w:r>
        <w:rPr>
          <w:szCs w:val="21"/>
          <w:highlight w:val="none"/>
        </w:rPr>
        <w:t>提交的投标文件进行评审，投标文件中与评审标准无关的内容不作为评审内容</w:t>
      </w:r>
      <w:r>
        <w:rPr>
          <w:rFonts w:hint="eastAsia"/>
          <w:szCs w:val="21"/>
          <w:highlight w:val="none"/>
        </w:rPr>
        <w:t>。</w:t>
      </w:r>
    </w:p>
    <w:p>
      <w:pPr>
        <w:tabs>
          <w:tab w:val="clear" w:pos="426"/>
        </w:tabs>
        <w:spacing w:line="300" w:lineRule="auto"/>
        <w:ind w:firstLine="420" w:firstLineChars="200"/>
        <w:rPr>
          <w:rFonts w:hint="eastAsia"/>
          <w:highlight w:val="none"/>
        </w:rPr>
      </w:pPr>
      <w:r>
        <w:rPr>
          <w:rFonts w:hint="eastAsia"/>
          <w:szCs w:val="21"/>
          <w:highlight w:val="none"/>
        </w:rPr>
        <w:t>2.9评标委员会在评标时，应按照“前附表（三）综合评分法评分因素和权重分值表”量化的评审因素，对各投标文件进行分析和比较。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rFonts w:hint="eastAsia"/>
          <w:b/>
          <w:sz w:val="24"/>
          <w:highlight w:val="none"/>
        </w:rPr>
      </w:pPr>
      <w:bookmarkStart w:id="62" w:name="_Toc16831"/>
      <w:r>
        <w:rPr>
          <w:rFonts w:hint="eastAsia"/>
          <w:b/>
          <w:sz w:val="24"/>
          <w:highlight w:val="none"/>
        </w:rPr>
        <w:t>3.符合性审查</w:t>
      </w:r>
      <w:bookmarkEnd w:id="62"/>
    </w:p>
    <w:p>
      <w:pPr>
        <w:tabs>
          <w:tab w:val="clear" w:pos="426"/>
        </w:tabs>
        <w:spacing w:line="300" w:lineRule="auto"/>
        <w:ind w:firstLine="420" w:firstLineChars="200"/>
        <w:rPr>
          <w:rFonts w:hint="eastAsia"/>
          <w:highlight w:val="none"/>
        </w:rPr>
      </w:pPr>
      <w:r>
        <w:rPr>
          <w:rFonts w:hint="eastAsia"/>
          <w:highlight w:val="none"/>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rFonts w:hint="eastAsia"/>
          <w:b/>
          <w:sz w:val="24"/>
          <w:highlight w:val="none"/>
        </w:rPr>
      </w:pPr>
      <w:bookmarkStart w:id="63" w:name="_Toc29518"/>
      <w:r>
        <w:rPr>
          <w:rFonts w:hint="eastAsia"/>
          <w:b/>
          <w:sz w:val="24"/>
          <w:highlight w:val="none"/>
        </w:rPr>
        <w:t>4.比较与评价</w:t>
      </w:r>
      <w:bookmarkEnd w:id="63"/>
    </w:p>
    <w:p>
      <w:pPr>
        <w:tabs>
          <w:tab w:val="clear" w:pos="426"/>
        </w:tabs>
        <w:spacing w:line="300" w:lineRule="auto"/>
        <w:ind w:firstLine="420" w:firstLineChars="200"/>
        <w:rPr>
          <w:rFonts w:hint="eastAsia"/>
          <w:highlight w:val="none"/>
        </w:rPr>
      </w:pPr>
      <w:r>
        <w:rPr>
          <w:rFonts w:hint="eastAsia"/>
          <w:highlight w:val="none"/>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经采购人同意后，确定排名第一的中标候选人为中标人。</w:t>
      </w:r>
    </w:p>
    <w:p>
      <w:pPr>
        <w:tabs>
          <w:tab w:val="clear" w:pos="426"/>
        </w:tabs>
        <w:spacing w:line="300" w:lineRule="auto"/>
        <w:ind w:firstLine="420" w:firstLineChars="200"/>
        <w:rPr>
          <w:rFonts w:hint="eastAsia"/>
          <w:highlight w:val="none"/>
        </w:rPr>
      </w:pPr>
      <w:r>
        <w:rPr>
          <w:rFonts w:hint="eastAsia"/>
          <w:highlight w:val="none"/>
        </w:rPr>
        <w:t>候选中标人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人推荐资格。</w:t>
      </w:r>
    </w:p>
    <w:p>
      <w:pPr>
        <w:tabs>
          <w:tab w:val="clear" w:pos="426"/>
        </w:tabs>
        <w:spacing w:line="300" w:lineRule="auto"/>
        <w:ind w:firstLine="420" w:firstLineChars="200"/>
        <w:rPr>
          <w:rFonts w:hint="eastAsia"/>
          <w:highlight w:val="none"/>
        </w:rPr>
      </w:pPr>
      <w:r>
        <w:rPr>
          <w:rFonts w:hint="eastAsia"/>
          <w:highlight w:val="none"/>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rFonts w:hint="eastAsia"/>
          <w:b/>
          <w:sz w:val="24"/>
          <w:highlight w:val="none"/>
        </w:rPr>
      </w:pPr>
      <w:bookmarkStart w:id="64" w:name="_Toc13196"/>
      <w:r>
        <w:rPr>
          <w:rFonts w:hint="eastAsia"/>
          <w:b/>
          <w:sz w:val="24"/>
          <w:highlight w:val="none"/>
        </w:rPr>
        <w:t>5.编写评标报告</w:t>
      </w:r>
      <w:bookmarkEnd w:id="64"/>
    </w:p>
    <w:p>
      <w:pPr>
        <w:tabs>
          <w:tab w:val="clear" w:pos="426"/>
        </w:tabs>
        <w:spacing w:line="300" w:lineRule="auto"/>
        <w:ind w:firstLine="420" w:firstLineChars="200"/>
        <w:rPr>
          <w:rFonts w:hint="eastAsia"/>
          <w:highlight w:val="none"/>
        </w:rPr>
      </w:pPr>
      <w:r>
        <w:rPr>
          <w:rFonts w:hint="eastAsia"/>
          <w:highlight w:val="none"/>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rPr>
          <w:rFonts w:hint="eastAsia"/>
          <w:highlight w:val="none"/>
        </w:rPr>
      </w:pPr>
    </w:p>
    <w:p>
      <w:pPr>
        <w:adjustRightInd/>
        <w:snapToGrid/>
        <w:spacing w:before="280" w:after="290" w:line="377" w:lineRule="auto"/>
        <w:jc w:val="left"/>
        <w:outlineLvl w:val="2"/>
        <w:rPr>
          <w:rFonts w:hint="eastAsia"/>
          <w:b/>
          <w:sz w:val="24"/>
          <w:highlight w:val="none"/>
        </w:rPr>
      </w:pPr>
      <w:bookmarkStart w:id="65" w:name="_Toc15875"/>
      <w:r>
        <w:rPr>
          <w:rFonts w:hint="eastAsia"/>
          <w:b/>
          <w:sz w:val="24"/>
          <w:highlight w:val="none"/>
        </w:rPr>
        <w:t>6.评标委员会对招标失败的论证意见</w:t>
      </w:r>
      <w:bookmarkEnd w:id="65"/>
    </w:p>
    <w:p>
      <w:pPr>
        <w:tabs>
          <w:tab w:val="clear" w:pos="426"/>
        </w:tabs>
        <w:spacing w:line="300" w:lineRule="auto"/>
        <w:ind w:firstLine="422" w:firstLineChars="200"/>
        <w:rPr>
          <w:rFonts w:hint="eastAsia"/>
          <w:b/>
          <w:bCs/>
          <w:highlight w:val="none"/>
        </w:rPr>
      </w:pPr>
      <w:r>
        <w:rPr>
          <w:rFonts w:hint="eastAsia"/>
          <w:b/>
          <w:bCs/>
          <w:highlight w:val="none"/>
        </w:rPr>
        <w:t>根据《财库〔2012〕69号财政部关于进一步规范政府采购评审工作有关问题的通知》的规定，评审委员会要在采购项目招标失败时，出具招标文件是否存在不合理条款的论证意见，论证意见写进评审报告中。</w:t>
      </w:r>
      <w:bookmarkEnd w:id="57"/>
      <w:bookmarkStart w:id="66" w:name="_Toc432592812"/>
    </w:p>
    <w:bookmarkEnd w:id="66"/>
    <w:p>
      <w:pPr>
        <w:rPr>
          <w:rFonts w:hint="eastAsia"/>
          <w:highlight w:val="none"/>
        </w:rPr>
      </w:pPr>
      <w:bookmarkStart w:id="67" w:name="_Toc432592814"/>
      <w:r>
        <w:rPr>
          <w:highlight w:val="none"/>
        </w:rPr>
        <w:br w:type="page"/>
      </w:r>
      <w:bookmarkEnd w:id="67"/>
      <w:bookmarkStart w:id="68" w:name="_Toc530152519"/>
      <w:bookmarkStart w:id="69" w:name="_Toc398220525"/>
      <w:bookmarkStart w:id="70" w:name="_Toc432592816"/>
    </w:p>
    <w:bookmarkEnd w:id="68"/>
    <w:p>
      <w:pPr>
        <w:pStyle w:val="62"/>
        <w:rPr>
          <w:highlight w:val="none"/>
        </w:rPr>
      </w:pPr>
      <w:bookmarkStart w:id="71" w:name="_Toc7991"/>
      <w:r>
        <w:rPr>
          <w:rFonts w:hint="eastAsia"/>
          <w:highlight w:val="none"/>
        </w:rPr>
        <w:t>第五章 合同文本</w:t>
      </w:r>
      <w:bookmarkEnd w:id="71"/>
    </w:p>
    <w:bookmarkEnd w:id="69"/>
    <w:bookmarkEnd w:id="70"/>
    <w:p>
      <w:pPr>
        <w:pStyle w:val="425"/>
        <w:rPr>
          <w:rFonts w:hint="eastAsia" w:hAnsi="宋体"/>
          <w:b/>
          <w:bCs/>
          <w:color w:val="000000"/>
          <w:sz w:val="28"/>
          <w:szCs w:val="28"/>
          <w:highlight w:val="none"/>
        </w:rPr>
      </w:pPr>
      <w:bookmarkStart w:id="72" w:name="_Toc432592818"/>
      <w:bookmarkStart w:id="73" w:name="_Toc398220526"/>
      <w:r>
        <w:rPr>
          <w:rFonts w:hint="eastAsia" w:hAnsi="宋体"/>
          <w:b/>
          <w:bCs/>
          <w:color w:val="000000"/>
          <w:sz w:val="28"/>
          <w:szCs w:val="28"/>
          <w:highlight w:val="none"/>
        </w:rPr>
        <w:t>本合同实际签订将根据供应商响应情况对合同进行删减调整</w:t>
      </w:r>
    </w:p>
    <w:p>
      <w:pPr>
        <w:pStyle w:val="425"/>
        <w:rPr>
          <w:rFonts w:eastAsia="方正小标宋_GBK"/>
          <w:color w:val="000000"/>
          <w:sz w:val="36"/>
          <w:szCs w:val="36"/>
          <w:highlight w:val="none"/>
        </w:rPr>
      </w:pPr>
      <w:r>
        <w:rPr>
          <w:rFonts w:hint="eastAsia" w:eastAsia="方正小标宋_GBK"/>
          <w:color w:val="000000"/>
          <w:sz w:val="36"/>
          <w:szCs w:val="36"/>
          <w:highlight w:val="none"/>
        </w:rPr>
        <w:t>农兽残检测全流程全自动样品前处理系统设备采购项目</w:t>
      </w:r>
      <w:r>
        <w:rPr>
          <w:rFonts w:eastAsia="方正小标宋_GBK"/>
          <w:color w:val="000000"/>
          <w:sz w:val="36"/>
          <w:szCs w:val="36"/>
          <w:highlight w:val="none"/>
        </w:rPr>
        <w:t>合同书</w:t>
      </w:r>
    </w:p>
    <w:p>
      <w:pPr>
        <w:rPr>
          <w:rFonts w:hint="eastAsia"/>
          <w:color w:val="000000"/>
          <w:sz w:val="24"/>
          <w:highlight w:val="none"/>
        </w:rPr>
      </w:pPr>
    </w:p>
    <w:p>
      <w:pPr>
        <w:rPr>
          <w:rFonts w:hint="eastAsia"/>
          <w:color w:val="000000"/>
          <w:sz w:val="24"/>
          <w:highlight w:val="none"/>
        </w:rPr>
      </w:pPr>
      <w:r>
        <w:rPr>
          <w:color w:val="000000"/>
          <w:sz w:val="24"/>
          <w:highlight w:val="none"/>
        </w:rPr>
        <w:t>甲方（采购人）:</w:t>
      </w:r>
      <w:r>
        <w:rPr>
          <w:rFonts w:hint="eastAsia"/>
          <w:color w:val="000000"/>
          <w:sz w:val="24"/>
          <w:highlight w:val="none"/>
        </w:rPr>
        <w:t>深圳海关食品检验检疫技术中心</w:t>
      </w:r>
    </w:p>
    <w:p>
      <w:pPr>
        <w:rPr>
          <w:rFonts w:hint="eastAsia"/>
          <w:color w:val="000000"/>
          <w:sz w:val="24"/>
          <w:highlight w:val="none"/>
        </w:rPr>
      </w:pPr>
      <w:r>
        <w:rPr>
          <w:color w:val="000000"/>
          <w:sz w:val="24"/>
          <w:highlight w:val="none"/>
        </w:rPr>
        <w:t xml:space="preserve">乙方（供应商）:                                  </w:t>
      </w:r>
    </w:p>
    <w:p>
      <w:pPr>
        <w:widowControl w:val="0"/>
        <w:shd w:val="clear" w:color="auto" w:fill="auto"/>
        <w:tabs>
          <w:tab w:val="clear" w:pos="426"/>
        </w:tabs>
        <w:adjustRightInd/>
        <w:snapToGrid/>
        <w:spacing w:line="240" w:lineRule="auto"/>
        <w:ind w:firstLine="480" w:firstLineChars="200"/>
        <w:rPr>
          <w:rFonts w:hint="eastAsia"/>
          <w:color w:val="000000"/>
          <w:sz w:val="24"/>
          <w:highlight w:val="none"/>
        </w:rPr>
      </w:pPr>
      <w:r>
        <w:rPr>
          <w:color w:val="000000"/>
          <w:sz w:val="24"/>
          <w:highlight w:val="none"/>
        </w:rPr>
        <w:t>根据</w:t>
      </w:r>
      <w:r>
        <w:rPr>
          <w:snapToGrid w:val="0"/>
          <w:color w:val="000000"/>
          <w:sz w:val="24"/>
          <w:highlight w:val="none"/>
        </w:rPr>
        <w:t>《中华人民共和国民法典（合同编）》、</w:t>
      </w:r>
      <w:r>
        <w:rPr>
          <w:color w:val="000000"/>
          <w:sz w:val="24"/>
          <w:highlight w:val="none"/>
        </w:rPr>
        <w:t>《中华人民共和国政府采购法》等相关法律规定，甲方对</w:t>
      </w:r>
      <w:r>
        <w:rPr>
          <w:rFonts w:hint="eastAsia"/>
          <w:color w:val="000000"/>
          <w:sz w:val="24"/>
          <w:highlight w:val="none"/>
          <w:u w:val="single"/>
        </w:rPr>
        <w:t>农兽残检测全流程全自动样品前处理系统设备采购项目</w:t>
      </w:r>
      <w:r>
        <w:rPr>
          <w:color w:val="000000"/>
          <w:sz w:val="24"/>
          <w:highlight w:val="none"/>
        </w:rPr>
        <w:t>以</w:t>
      </w:r>
      <w:r>
        <w:rPr>
          <w:rFonts w:hint="eastAsia"/>
          <w:color w:val="000000"/>
          <w:sz w:val="24"/>
          <w:highlight w:val="none"/>
          <w:u w:val="single"/>
        </w:rPr>
        <w:t>公开招标</w:t>
      </w:r>
      <w:r>
        <w:rPr>
          <w:color w:val="000000"/>
          <w:sz w:val="24"/>
          <w:highlight w:val="none"/>
        </w:rPr>
        <w:t>方式进行采购</w:t>
      </w:r>
      <w:r>
        <w:rPr>
          <w:rFonts w:hint="eastAsia"/>
          <w:color w:val="000000"/>
          <w:sz w:val="24"/>
          <w:highlight w:val="none"/>
        </w:rPr>
        <w:t>，</w:t>
      </w:r>
      <w:r>
        <w:rPr>
          <w:color w:val="000000"/>
          <w:sz w:val="24"/>
          <w:highlight w:val="none"/>
        </w:rPr>
        <w:t>确定乙方为中标人（成交商），现依照招标文件、投标文件等相关文件的内容，双方达成如下协议：</w:t>
      </w:r>
    </w:p>
    <w:p>
      <w:pPr>
        <w:ind w:firstLine="482" w:firstLineChars="200"/>
        <w:rPr>
          <w:rFonts w:hint="eastAsia"/>
          <w:b/>
          <w:bCs/>
          <w:color w:val="000000"/>
          <w:sz w:val="24"/>
          <w:highlight w:val="none"/>
        </w:rPr>
      </w:pPr>
      <w:r>
        <w:rPr>
          <w:b/>
          <w:bCs/>
          <w:color w:val="000000"/>
          <w:sz w:val="24"/>
          <w:highlight w:val="none"/>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color w:val="000000"/>
                <w:sz w:val="24"/>
                <w:szCs w:val="24"/>
                <w:highlight w:val="none"/>
              </w:rPr>
            </w:pPr>
            <w:r>
              <w:rPr>
                <w:rFonts w:ascii="Times New Roman"/>
                <w:b/>
                <w:bCs/>
                <w:color w:val="000000"/>
                <w:sz w:val="24"/>
                <w:szCs w:val="24"/>
                <w:highlight w:val="none"/>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color w:val="000000"/>
                <w:sz w:val="24"/>
                <w:szCs w:val="24"/>
                <w:highlight w:val="none"/>
              </w:rPr>
            </w:pPr>
            <w:r>
              <w:rPr>
                <w:rFonts w:ascii="Times New Roman"/>
                <w:b/>
                <w:bCs/>
                <w:color w:val="000000"/>
                <w:sz w:val="24"/>
                <w:szCs w:val="24"/>
                <w:highlight w:val="none"/>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color w:val="000000"/>
                <w:sz w:val="24"/>
                <w:szCs w:val="24"/>
                <w:highlight w:val="none"/>
              </w:rPr>
            </w:pPr>
            <w:r>
              <w:rPr>
                <w:rFonts w:ascii="Times New Roman" w:hAnsi="Times New Roman"/>
                <w:b/>
                <w:bCs/>
                <w:color w:val="000000"/>
                <w:sz w:val="24"/>
                <w:szCs w:val="24"/>
                <w:highlight w:val="none"/>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color w:val="000000"/>
                <w:sz w:val="24"/>
                <w:szCs w:val="24"/>
                <w:highlight w:val="none"/>
              </w:rPr>
            </w:pPr>
            <w:r>
              <w:rPr>
                <w:rFonts w:ascii="Times New Roman"/>
                <w:b/>
                <w:bCs/>
                <w:color w:val="000000"/>
                <w:sz w:val="24"/>
                <w:szCs w:val="24"/>
                <w:highlight w:val="none"/>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color w:val="000000"/>
                <w:sz w:val="24"/>
                <w:szCs w:val="24"/>
                <w:highlight w:val="none"/>
              </w:rPr>
            </w:pPr>
            <w:r>
              <w:rPr>
                <w:rFonts w:ascii="Times New Roman"/>
                <w:b/>
                <w:bCs/>
                <w:color w:val="000000"/>
                <w:sz w:val="24"/>
                <w:szCs w:val="24"/>
                <w:highlight w:val="none"/>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color w:val="000000"/>
                <w:sz w:val="24"/>
                <w:szCs w:val="24"/>
                <w:highlight w:val="none"/>
              </w:rPr>
            </w:pPr>
            <w:r>
              <w:rPr>
                <w:rFonts w:ascii="Times New Roman"/>
                <w:b/>
                <w:bCs/>
                <w:color w:val="000000"/>
                <w:sz w:val="24"/>
                <w:szCs w:val="24"/>
                <w:highlight w:val="none"/>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color w:val="000000"/>
                <w:sz w:val="24"/>
                <w:szCs w:val="24"/>
                <w:highlight w:val="none"/>
              </w:rPr>
            </w:pPr>
            <w:r>
              <w:rPr>
                <w:rFonts w:ascii="Times New Roman"/>
                <w:b/>
                <w:bCs/>
                <w:color w:val="000000"/>
                <w:sz w:val="24"/>
                <w:szCs w:val="24"/>
                <w:highlight w:val="none"/>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color w:val="000000"/>
                <w:sz w:val="24"/>
                <w:szCs w:val="24"/>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color w:val="000000"/>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color w:val="000000"/>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color w:val="000000"/>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color w:val="000000"/>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color w:val="000000"/>
                <w:sz w:val="24"/>
                <w:szCs w:val="24"/>
                <w:highlight w:val="none"/>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color w:val="000000"/>
                <w:sz w:val="24"/>
                <w:szCs w:val="24"/>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color w:val="000000"/>
                <w:sz w:val="24"/>
                <w:szCs w:val="24"/>
                <w:highlight w:val="none"/>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color w:val="000000"/>
                <w:sz w:val="24"/>
                <w:szCs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color w:val="000000"/>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color w:val="000000"/>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color w:val="000000"/>
                <w:sz w:val="24"/>
                <w:szCs w:val="24"/>
                <w:highlight w:val="none"/>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color w:val="000000"/>
                <w:sz w:val="24"/>
                <w:szCs w:val="24"/>
                <w:highlight w:val="none"/>
              </w:rPr>
            </w:pPr>
            <w:r>
              <w:rPr>
                <w:rFonts w:ascii="Times New Roman"/>
                <w:b/>
                <w:bCs/>
                <w:color w:val="000000"/>
                <w:sz w:val="24"/>
                <w:szCs w:val="24"/>
                <w:highlight w:val="none"/>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color w:val="000000"/>
                <w:sz w:val="24"/>
                <w:highlight w:val="none"/>
              </w:rPr>
            </w:pPr>
          </w:p>
        </w:tc>
      </w:tr>
    </w:tbl>
    <w:p>
      <w:pPr>
        <w:ind w:firstLine="482" w:firstLineChars="200"/>
        <w:rPr>
          <w:rFonts w:hint="eastAsia"/>
          <w:b/>
          <w:bCs/>
          <w:color w:val="000000"/>
          <w:sz w:val="24"/>
          <w:highlight w:val="none"/>
        </w:rPr>
      </w:pPr>
      <w:r>
        <w:rPr>
          <w:b/>
          <w:bCs/>
          <w:color w:val="000000"/>
          <w:sz w:val="24"/>
          <w:highlight w:val="none"/>
        </w:rPr>
        <w:t>第二条 合同总价款</w:t>
      </w:r>
    </w:p>
    <w:p>
      <w:pPr>
        <w:pStyle w:val="620"/>
        <w:spacing w:line="360" w:lineRule="auto"/>
        <w:ind w:firstLine="480" w:firstLineChars="200"/>
        <w:rPr>
          <w:rFonts w:eastAsia="宋体"/>
          <w:color w:val="000000"/>
          <w:sz w:val="24"/>
          <w:szCs w:val="24"/>
          <w:highlight w:val="none"/>
        </w:rPr>
      </w:pPr>
      <w:r>
        <w:rPr>
          <w:rFonts w:eastAsia="宋体"/>
          <w:color w:val="000000"/>
          <w:sz w:val="24"/>
          <w:szCs w:val="24"/>
          <w:highlight w:val="none"/>
        </w:rPr>
        <w:t>甲方以支付总价款__________元，（人民币大写</w:t>
      </w:r>
      <w:r>
        <w:rPr>
          <w:rFonts w:hint="eastAsia" w:eastAsia="宋体"/>
          <w:color w:val="000000"/>
          <w:sz w:val="24"/>
          <w:szCs w:val="24"/>
          <w:highlight w:val="none"/>
        </w:rPr>
        <w:t xml:space="preserve">：         </w:t>
      </w:r>
      <w:r>
        <w:rPr>
          <w:rFonts w:eastAsia="宋体"/>
          <w:color w:val="000000"/>
          <w:sz w:val="24"/>
          <w:szCs w:val="24"/>
          <w:highlight w:val="none"/>
        </w:rPr>
        <w:t>）接受乙方对上述货物的供货和</w:t>
      </w:r>
      <w:r>
        <w:rPr>
          <w:rFonts w:hint="eastAsia" w:eastAsia="宋体"/>
          <w:color w:val="000000"/>
          <w:sz w:val="24"/>
          <w:szCs w:val="24"/>
          <w:highlight w:val="none"/>
        </w:rPr>
        <w:t>伴随</w:t>
      </w:r>
      <w:r>
        <w:rPr>
          <w:rFonts w:eastAsia="宋体"/>
          <w:color w:val="000000"/>
          <w:sz w:val="24"/>
          <w:szCs w:val="24"/>
          <w:highlight w:val="none"/>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color w:val="000000"/>
          <w:sz w:val="24"/>
          <w:szCs w:val="24"/>
          <w:highlight w:val="none"/>
        </w:rPr>
        <w:t>（根据采购实际可自行调整。）</w:t>
      </w:r>
    </w:p>
    <w:p>
      <w:pPr>
        <w:pStyle w:val="621"/>
        <w:spacing w:line="360" w:lineRule="auto"/>
        <w:ind w:firstLine="482" w:firstLineChars="200"/>
        <w:rPr>
          <w:rFonts w:ascii="Times New Roman" w:eastAsia="宋体"/>
          <w:color w:val="000000"/>
          <w:sz w:val="24"/>
          <w:szCs w:val="24"/>
          <w:highlight w:val="none"/>
        </w:rPr>
      </w:pPr>
      <w:r>
        <w:rPr>
          <w:rFonts w:ascii="Times New Roman" w:eastAsia="宋体"/>
          <w:b/>
          <w:bCs/>
          <w:color w:val="000000"/>
          <w:sz w:val="24"/>
          <w:szCs w:val="24"/>
          <w:highlight w:val="none"/>
        </w:rPr>
        <w:t>第三条 付款条件</w:t>
      </w:r>
    </w:p>
    <w:p>
      <w:pPr>
        <w:ind w:firstLine="480" w:firstLineChars="200"/>
        <w:rPr>
          <w:rFonts w:hint="eastAsia"/>
          <w:color w:val="000000"/>
          <w:sz w:val="24"/>
          <w:highlight w:val="none"/>
        </w:rPr>
      </w:pPr>
      <w:r>
        <w:rPr>
          <w:color w:val="000000"/>
          <w:sz w:val="24"/>
          <w:highlight w:val="none"/>
        </w:rPr>
        <w:t>（一）本合同以人民币付款。</w:t>
      </w:r>
    </w:p>
    <w:p>
      <w:pPr>
        <w:ind w:firstLine="480" w:firstLineChars="200"/>
        <w:rPr>
          <w:rFonts w:hint="eastAsia"/>
          <w:color w:val="000000"/>
          <w:sz w:val="24"/>
          <w:highlight w:val="none"/>
        </w:rPr>
      </w:pPr>
      <w:r>
        <w:rPr>
          <w:color w:val="000000"/>
          <w:sz w:val="24"/>
          <w:highlight w:val="none"/>
        </w:rPr>
        <w:t>（二）付款办法：</w:t>
      </w:r>
    </w:p>
    <w:p>
      <w:pPr>
        <w:ind w:firstLine="480" w:firstLineChars="200"/>
        <w:rPr>
          <w:rFonts w:hint="eastAsia"/>
          <w:color w:val="000000"/>
          <w:sz w:val="24"/>
          <w:highlight w:val="none"/>
        </w:rPr>
      </w:pPr>
      <w:r>
        <w:rPr>
          <w:color w:val="000000"/>
          <w:sz w:val="24"/>
          <w:highlight w:val="none"/>
        </w:rPr>
        <w:t>1.乙方向甲方交付履约保</w:t>
      </w:r>
      <w:r>
        <w:rPr>
          <w:rFonts w:hint="eastAsia"/>
          <w:color w:val="000000"/>
          <w:sz w:val="24"/>
          <w:highlight w:val="none"/>
        </w:rPr>
        <w:t>函或保证金，比例等于合同金额的10%</w:t>
      </w:r>
      <w:r>
        <w:rPr>
          <w:color w:val="000000"/>
          <w:sz w:val="24"/>
          <w:highlight w:val="none"/>
        </w:rPr>
        <w:t>，并提交下列单据之日起10个工作日内，甲方向乙方支付合同总价</w:t>
      </w:r>
      <w:r>
        <w:rPr>
          <w:rFonts w:hint="eastAsia"/>
          <w:color w:val="000000"/>
          <w:sz w:val="24"/>
          <w:highlight w:val="none"/>
          <w:u w:val="single"/>
        </w:rPr>
        <w:t>50</w:t>
      </w:r>
      <w:r>
        <w:rPr>
          <w:color w:val="000000"/>
          <w:sz w:val="24"/>
          <w:highlight w:val="none"/>
        </w:rPr>
        <w:t>%合同款（金额</w:t>
      </w:r>
      <w:r>
        <w:rPr>
          <w:rFonts w:hint="eastAsia"/>
          <w:color w:val="000000"/>
          <w:sz w:val="24"/>
          <w:highlight w:val="none"/>
        </w:rPr>
        <w:t xml:space="preserve">大写：         </w:t>
      </w:r>
      <w:r>
        <w:rPr>
          <w:color w:val="000000"/>
          <w:sz w:val="24"/>
          <w:highlight w:val="none"/>
        </w:rPr>
        <w:t>）。</w:t>
      </w:r>
    </w:p>
    <w:p>
      <w:pPr>
        <w:ind w:firstLine="480" w:firstLineChars="200"/>
        <w:rPr>
          <w:rFonts w:hint="eastAsia"/>
          <w:color w:val="000000"/>
          <w:sz w:val="24"/>
          <w:highlight w:val="none"/>
        </w:rPr>
      </w:pPr>
      <w:r>
        <w:rPr>
          <w:color w:val="000000"/>
          <w:sz w:val="24"/>
          <w:highlight w:val="none"/>
        </w:rPr>
        <w:t>乙方提交单据：合同（正文部分复印件）、中标通知书（或成交通知书复印件）、发票（原件）、履约保</w:t>
      </w:r>
      <w:r>
        <w:rPr>
          <w:rFonts w:hint="eastAsia"/>
          <w:color w:val="000000"/>
          <w:sz w:val="24"/>
          <w:highlight w:val="none"/>
        </w:rPr>
        <w:t>函或保证金</w:t>
      </w:r>
      <w:r>
        <w:rPr>
          <w:color w:val="000000"/>
          <w:sz w:val="24"/>
          <w:highlight w:val="none"/>
        </w:rPr>
        <w:t>单据复印件</w:t>
      </w:r>
      <w:r>
        <w:rPr>
          <w:rFonts w:hint="eastAsia"/>
          <w:color w:val="000000"/>
          <w:sz w:val="24"/>
          <w:highlight w:val="none"/>
        </w:rPr>
        <w:t>（如有）</w:t>
      </w:r>
      <w:r>
        <w:rPr>
          <w:color w:val="000000"/>
          <w:sz w:val="24"/>
          <w:highlight w:val="none"/>
        </w:rPr>
        <w:t>。</w:t>
      </w:r>
    </w:p>
    <w:p>
      <w:pPr>
        <w:ind w:firstLine="480" w:firstLineChars="200"/>
        <w:rPr>
          <w:rFonts w:hint="eastAsia"/>
          <w:color w:val="000000"/>
          <w:sz w:val="24"/>
          <w:highlight w:val="none"/>
        </w:rPr>
      </w:pPr>
      <w:r>
        <w:rPr>
          <w:color w:val="000000"/>
          <w:sz w:val="24"/>
          <w:szCs w:val="24"/>
          <w:highlight w:val="none"/>
        </w:rPr>
        <w:t>2.</w:t>
      </w:r>
      <w:r>
        <w:rPr>
          <w:rFonts w:hint="eastAsia"/>
          <w:sz w:val="24"/>
          <w:szCs w:val="24"/>
          <w:highlight w:val="none"/>
        </w:rPr>
        <w:t xml:space="preserve"> 设备全部到货并经甲方（用户）签收后，乙方向甲方提交下列单据之日起10个工作日内，甲方向乙方支付合同总价</w:t>
      </w:r>
      <w:r>
        <w:rPr>
          <w:rFonts w:hint="eastAsia"/>
          <w:color w:val="000000"/>
          <w:sz w:val="24"/>
          <w:szCs w:val="24"/>
          <w:highlight w:val="none"/>
          <w:u w:val="single"/>
        </w:rPr>
        <w:t>50</w:t>
      </w:r>
      <w:r>
        <w:rPr>
          <w:color w:val="000000"/>
          <w:sz w:val="24"/>
          <w:szCs w:val="24"/>
          <w:highlight w:val="none"/>
        </w:rPr>
        <w:t>%</w:t>
      </w:r>
      <w:r>
        <w:rPr>
          <w:color w:val="000000"/>
          <w:sz w:val="24"/>
          <w:highlight w:val="none"/>
        </w:rPr>
        <w:t>合同款（金额</w:t>
      </w:r>
      <w:r>
        <w:rPr>
          <w:rFonts w:hint="eastAsia"/>
          <w:color w:val="000000"/>
          <w:sz w:val="24"/>
          <w:highlight w:val="none"/>
        </w:rPr>
        <w:t xml:space="preserve">大写：            </w:t>
      </w:r>
      <w:r>
        <w:rPr>
          <w:color w:val="000000"/>
          <w:sz w:val="24"/>
          <w:highlight w:val="none"/>
        </w:rPr>
        <w:t>）。</w:t>
      </w:r>
    </w:p>
    <w:p>
      <w:pPr>
        <w:ind w:firstLine="480" w:firstLineChars="200"/>
        <w:rPr>
          <w:rFonts w:hint="eastAsia"/>
          <w:color w:val="000000"/>
          <w:sz w:val="24"/>
          <w:highlight w:val="none"/>
        </w:rPr>
      </w:pPr>
      <w:r>
        <w:rPr>
          <w:color w:val="000000"/>
          <w:sz w:val="24"/>
          <w:highlight w:val="none"/>
        </w:rPr>
        <w:t>乙方提交单据：合同(正文部分复印件）、中标通知书（或成交通知书复印件）、发票（原件）、设备到</w:t>
      </w:r>
      <w:r>
        <w:rPr>
          <w:rFonts w:hint="eastAsia"/>
          <w:color w:val="000000"/>
          <w:sz w:val="24"/>
          <w:highlight w:val="none"/>
          <w:lang w:val="en-US" w:eastAsia="zh-CN"/>
        </w:rPr>
        <w:t>货</w:t>
      </w:r>
      <w:r>
        <w:rPr>
          <w:color w:val="000000"/>
          <w:sz w:val="24"/>
          <w:highlight w:val="none"/>
        </w:rPr>
        <w:t>签收单（复印件）。</w:t>
      </w:r>
    </w:p>
    <w:p>
      <w:pPr>
        <w:ind w:firstLine="480" w:firstLineChars="200"/>
        <w:rPr>
          <w:rFonts w:hint="eastAsia"/>
          <w:color w:val="000000"/>
          <w:sz w:val="24"/>
          <w:highlight w:val="none"/>
        </w:rPr>
      </w:pPr>
      <w:r>
        <w:rPr>
          <w:color w:val="000000"/>
          <w:sz w:val="24"/>
          <w:highlight w:val="none"/>
        </w:rPr>
        <w:t>3.设备全部安装调试，并经甲方（用户）验收合格后，乙方向甲方提交下列单据之日起</w:t>
      </w:r>
      <w:r>
        <w:rPr>
          <w:rFonts w:hint="eastAsia"/>
          <w:color w:val="000000"/>
          <w:sz w:val="24"/>
          <w:highlight w:val="none"/>
        </w:rPr>
        <w:t>30</w:t>
      </w:r>
      <w:r>
        <w:rPr>
          <w:color w:val="000000"/>
          <w:sz w:val="24"/>
          <w:highlight w:val="none"/>
        </w:rPr>
        <w:t>日内，甲方向乙方</w:t>
      </w:r>
      <w:r>
        <w:rPr>
          <w:rFonts w:hint="eastAsia"/>
          <w:color w:val="000000"/>
          <w:sz w:val="24"/>
          <w:highlight w:val="none"/>
        </w:rPr>
        <w:t>无息退还履约保函或保证金</w:t>
      </w:r>
      <w:r>
        <w:rPr>
          <w:color w:val="000000"/>
          <w:sz w:val="24"/>
          <w:highlight w:val="none"/>
        </w:rPr>
        <w:t>。</w:t>
      </w:r>
    </w:p>
    <w:p>
      <w:pPr>
        <w:ind w:firstLine="480" w:firstLineChars="200"/>
        <w:rPr>
          <w:rFonts w:hint="eastAsia"/>
          <w:color w:val="000000"/>
          <w:sz w:val="24"/>
          <w:highlight w:val="none"/>
        </w:rPr>
      </w:pPr>
      <w:r>
        <w:rPr>
          <w:color w:val="000000"/>
          <w:sz w:val="24"/>
          <w:highlight w:val="none"/>
        </w:rPr>
        <w:t>乙方提交单据：</w:t>
      </w:r>
      <w:r>
        <w:rPr>
          <w:rFonts w:hint="eastAsia"/>
          <w:color w:val="000000"/>
          <w:sz w:val="24"/>
          <w:highlight w:val="none"/>
        </w:rPr>
        <w:t>退还申请（原件）、</w:t>
      </w:r>
      <w:r>
        <w:rPr>
          <w:color w:val="000000"/>
          <w:sz w:val="24"/>
          <w:highlight w:val="none"/>
        </w:rPr>
        <w:t>安装调试验收合格报告（复印件）。</w:t>
      </w:r>
    </w:p>
    <w:p>
      <w:pPr>
        <w:ind w:firstLine="480" w:firstLineChars="200"/>
        <w:rPr>
          <w:rFonts w:hint="eastAsia"/>
          <w:color w:val="000000"/>
          <w:sz w:val="24"/>
          <w:highlight w:val="none"/>
        </w:rPr>
      </w:pPr>
      <w:r>
        <w:rPr>
          <w:color w:val="000000"/>
          <w:sz w:val="24"/>
          <w:highlight w:val="none"/>
        </w:rPr>
        <w:t>4.因财政集中支付延误时间不计算在内</w:t>
      </w:r>
      <w:r>
        <w:rPr>
          <w:rFonts w:hint="eastAsia"/>
          <w:color w:val="000000"/>
          <w:sz w:val="24"/>
          <w:highlight w:val="none"/>
        </w:rPr>
        <w:t>。</w:t>
      </w:r>
      <w:r>
        <w:rPr>
          <w:color w:val="000000"/>
          <w:sz w:val="24"/>
          <w:highlight w:val="none"/>
        </w:rPr>
        <w:t>乙方提交付款单据延迟、缺失及账户信息错误的，甲方有权相应顺延付款期限，且甲方不承担延误付款责任。</w:t>
      </w:r>
    </w:p>
    <w:p>
      <w:pPr>
        <w:pStyle w:val="603"/>
        <w:autoSpaceDN w:val="0"/>
        <w:ind w:firstLine="480" w:firstLineChars="200"/>
        <w:jc w:val="left"/>
        <w:rPr>
          <w:snapToGrid w:val="0"/>
          <w:sz w:val="24"/>
          <w:szCs w:val="24"/>
          <w:highlight w:val="none"/>
        </w:rPr>
      </w:pPr>
      <w:r>
        <w:rPr>
          <w:snapToGrid w:val="0"/>
          <w:sz w:val="24"/>
          <w:szCs w:val="24"/>
          <w:highlight w:val="none"/>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jc w:val="left"/>
              <w:rPr>
                <w:snapToGrid w:val="0"/>
                <w:sz w:val="24"/>
                <w:szCs w:val="24"/>
                <w:highlight w:val="none"/>
              </w:rPr>
            </w:pPr>
            <w:r>
              <w:rPr>
                <w:snapToGrid w:val="0"/>
                <w:sz w:val="24"/>
                <w:szCs w:val="24"/>
                <w:highlight w:val="none"/>
              </w:rPr>
              <w:t>乙方全称</w:t>
            </w:r>
          </w:p>
        </w:tc>
        <w:tc>
          <w:tcPr>
            <w:tcW w:w="6051" w:type="dxa"/>
            <w:vAlign w:val="center"/>
          </w:tcPr>
          <w:p>
            <w:pPr>
              <w:pStyle w:val="603"/>
              <w:autoSpaceDN w:val="0"/>
              <w:ind w:firstLine="480" w:firstLineChars="200"/>
              <w:jc w:val="left"/>
              <w:rPr>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jc w:val="left"/>
              <w:rPr>
                <w:snapToGrid w:val="0"/>
                <w:sz w:val="24"/>
                <w:szCs w:val="24"/>
                <w:highlight w:val="none"/>
              </w:rPr>
            </w:pPr>
            <w:r>
              <w:rPr>
                <w:snapToGrid w:val="0"/>
                <w:sz w:val="24"/>
                <w:szCs w:val="24"/>
                <w:highlight w:val="none"/>
              </w:rPr>
              <w:t>开户银行</w:t>
            </w:r>
          </w:p>
        </w:tc>
        <w:tc>
          <w:tcPr>
            <w:tcW w:w="6051" w:type="dxa"/>
            <w:vAlign w:val="center"/>
          </w:tcPr>
          <w:p>
            <w:pPr>
              <w:pStyle w:val="603"/>
              <w:autoSpaceDN w:val="0"/>
              <w:ind w:firstLine="480" w:firstLineChars="200"/>
              <w:jc w:val="left"/>
              <w:rPr>
                <w:snapToGrid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jc w:val="left"/>
              <w:rPr>
                <w:snapToGrid w:val="0"/>
                <w:sz w:val="24"/>
                <w:szCs w:val="24"/>
                <w:highlight w:val="none"/>
              </w:rPr>
            </w:pPr>
            <w:r>
              <w:rPr>
                <w:snapToGrid w:val="0"/>
                <w:sz w:val="24"/>
                <w:szCs w:val="24"/>
                <w:highlight w:val="none"/>
              </w:rPr>
              <w:t>账号</w:t>
            </w:r>
          </w:p>
        </w:tc>
        <w:tc>
          <w:tcPr>
            <w:tcW w:w="6051" w:type="dxa"/>
            <w:vAlign w:val="center"/>
          </w:tcPr>
          <w:p>
            <w:pPr>
              <w:pStyle w:val="603"/>
              <w:autoSpaceDN w:val="0"/>
              <w:ind w:firstLine="480" w:firstLineChars="200"/>
              <w:jc w:val="left"/>
              <w:rPr>
                <w:snapToGrid w:val="0"/>
                <w:sz w:val="24"/>
                <w:szCs w:val="24"/>
                <w:highlight w:val="none"/>
              </w:rPr>
            </w:pPr>
          </w:p>
        </w:tc>
      </w:tr>
    </w:tbl>
    <w:p>
      <w:pPr>
        <w:ind w:firstLine="482" w:firstLineChars="200"/>
        <w:rPr>
          <w:rFonts w:hint="eastAsia"/>
          <w:b/>
          <w:bCs/>
          <w:color w:val="000000"/>
          <w:sz w:val="24"/>
          <w:highlight w:val="none"/>
        </w:rPr>
      </w:pPr>
      <w:r>
        <w:rPr>
          <w:b/>
          <w:bCs/>
          <w:color w:val="000000"/>
          <w:sz w:val="24"/>
          <w:highlight w:val="none"/>
        </w:rPr>
        <w:t>第四条 履约保证金</w:t>
      </w:r>
    </w:p>
    <w:p>
      <w:pPr>
        <w:pStyle w:val="622"/>
        <w:spacing w:line="360" w:lineRule="auto"/>
        <w:ind w:firstLine="480" w:firstLineChars="200"/>
        <w:rPr>
          <w:rFonts w:eastAsia="宋体"/>
          <w:color w:val="000000"/>
          <w:sz w:val="24"/>
          <w:szCs w:val="24"/>
          <w:highlight w:val="none"/>
        </w:rPr>
      </w:pPr>
      <w:r>
        <w:rPr>
          <w:rFonts w:eastAsia="宋体"/>
          <w:color w:val="000000"/>
          <w:sz w:val="24"/>
          <w:szCs w:val="24"/>
          <w:highlight w:val="none"/>
        </w:rPr>
        <w:t>（一）合同签订之日起</w:t>
      </w:r>
      <w:r>
        <w:rPr>
          <w:rFonts w:hint="eastAsia" w:eastAsia="宋体"/>
          <w:color w:val="000000"/>
          <w:sz w:val="24"/>
          <w:szCs w:val="24"/>
          <w:highlight w:val="none"/>
          <w:u w:val="single"/>
        </w:rPr>
        <w:t xml:space="preserve"> 20 </w:t>
      </w:r>
      <w:r>
        <w:rPr>
          <w:rFonts w:eastAsia="宋体"/>
          <w:color w:val="000000"/>
          <w:sz w:val="24"/>
          <w:szCs w:val="24"/>
          <w:highlight w:val="none"/>
        </w:rPr>
        <w:t>个工作日内，乙方须按合同金额的</w:t>
      </w:r>
      <w:r>
        <w:rPr>
          <w:rFonts w:hint="eastAsia" w:eastAsia="宋体"/>
          <w:color w:val="000000"/>
          <w:sz w:val="24"/>
          <w:szCs w:val="24"/>
          <w:highlight w:val="none"/>
          <w:u w:val="single"/>
        </w:rPr>
        <w:t xml:space="preserve"> 10  </w:t>
      </w:r>
      <w:r>
        <w:rPr>
          <w:rFonts w:eastAsia="宋体"/>
          <w:color w:val="000000"/>
          <w:sz w:val="24"/>
          <w:szCs w:val="24"/>
          <w:highlight w:val="none"/>
        </w:rPr>
        <w:t>%向甲方交纳履约保证金</w:t>
      </w:r>
      <w:r>
        <w:rPr>
          <w:rFonts w:hint="eastAsia" w:eastAsia="宋体"/>
          <w:color w:val="000000"/>
          <w:sz w:val="24"/>
          <w:szCs w:val="24"/>
          <w:highlight w:val="none"/>
        </w:rPr>
        <w:t>或保函</w:t>
      </w:r>
      <w:r>
        <w:rPr>
          <w:rFonts w:eastAsia="宋体"/>
          <w:color w:val="000000"/>
          <w:sz w:val="24"/>
          <w:szCs w:val="24"/>
          <w:highlight w:val="none"/>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highlight w:val="none"/>
        </w:rPr>
      </w:pPr>
      <w:r>
        <w:rPr>
          <w:snapToGrid w:val="0"/>
          <w:kern w:val="0"/>
          <w:sz w:val="24"/>
          <w:szCs w:val="24"/>
          <w:highlight w:val="none"/>
        </w:rPr>
        <w:t>甲方指定履约保证金收款账户为：</w:t>
      </w:r>
      <w:r>
        <w:rPr>
          <w:rFonts w:hint="eastAsia"/>
          <w:snapToGrid w:val="0"/>
          <w:kern w:val="0"/>
          <w:sz w:val="24"/>
          <w:szCs w:val="24"/>
          <w:highlight w:val="none"/>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spacing w:line="360" w:lineRule="auto"/>
              <w:jc w:val="left"/>
              <w:rPr>
                <w:snapToGrid w:val="0"/>
                <w:kern w:val="0"/>
                <w:sz w:val="24"/>
                <w:szCs w:val="24"/>
                <w:highlight w:val="none"/>
              </w:rPr>
            </w:pPr>
            <w:r>
              <w:rPr>
                <w:snapToGrid w:val="0"/>
                <w:kern w:val="0"/>
                <w:sz w:val="24"/>
                <w:szCs w:val="24"/>
                <w:highlight w:val="none"/>
              </w:rPr>
              <w:t>收款单位全称</w:t>
            </w:r>
          </w:p>
        </w:tc>
        <w:tc>
          <w:tcPr>
            <w:tcW w:w="5469" w:type="dxa"/>
            <w:vAlign w:val="center"/>
          </w:tcPr>
          <w:p>
            <w:pPr>
              <w:pStyle w:val="623"/>
              <w:autoSpaceDN w:val="0"/>
              <w:spacing w:line="360" w:lineRule="auto"/>
              <w:ind w:firstLine="480" w:firstLineChars="200"/>
              <w:jc w:val="left"/>
              <w:rPr>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spacing w:line="360" w:lineRule="auto"/>
              <w:jc w:val="left"/>
              <w:rPr>
                <w:snapToGrid w:val="0"/>
                <w:kern w:val="0"/>
                <w:sz w:val="24"/>
                <w:szCs w:val="24"/>
                <w:highlight w:val="none"/>
              </w:rPr>
            </w:pPr>
            <w:r>
              <w:rPr>
                <w:snapToGrid w:val="0"/>
                <w:kern w:val="0"/>
                <w:sz w:val="24"/>
                <w:szCs w:val="24"/>
                <w:highlight w:val="none"/>
              </w:rPr>
              <w:t>开户银行</w:t>
            </w:r>
          </w:p>
        </w:tc>
        <w:tc>
          <w:tcPr>
            <w:tcW w:w="5469" w:type="dxa"/>
            <w:vAlign w:val="center"/>
          </w:tcPr>
          <w:p>
            <w:pPr>
              <w:pStyle w:val="623"/>
              <w:autoSpaceDN w:val="0"/>
              <w:spacing w:line="360" w:lineRule="auto"/>
              <w:ind w:firstLine="480" w:firstLineChars="200"/>
              <w:jc w:val="left"/>
              <w:rPr>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spacing w:line="360" w:lineRule="auto"/>
              <w:jc w:val="left"/>
              <w:rPr>
                <w:snapToGrid w:val="0"/>
                <w:kern w:val="0"/>
                <w:sz w:val="24"/>
                <w:szCs w:val="24"/>
                <w:highlight w:val="none"/>
              </w:rPr>
            </w:pPr>
            <w:r>
              <w:rPr>
                <w:snapToGrid w:val="0"/>
                <w:kern w:val="0"/>
                <w:sz w:val="24"/>
                <w:szCs w:val="24"/>
                <w:highlight w:val="none"/>
              </w:rPr>
              <w:t>账号</w:t>
            </w:r>
          </w:p>
        </w:tc>
        <w:tc>
          <w:tcPr>
            <w:tcW w:w="5469" w:type="dxa"/>
            <w:vAlign w:val="center"/>
          </w:tcPr>
          <w:p>
            <w:pPr>
              <w:pStyle w:val="623"/>
              <w:autoSpaceDN w:val="0"/>
              <w:spacing w:line="360" w:lineRule="auto"/>
              <w:ind w:firstLine="480" w:firstLineChars="200"/>
              <w:jc w:val="left"/>
              <w:rPr>
                <w:snapToGrid w:val="0"/>
                <w:kern w:val="0"/>
                <w:sz w:val="24"/>
                <w:szCs w:val="24"/>
                <w:highlight w:val="none"/>
              </w:rPr>
            </w:pPr>
          </w:p>
        </w:tc>
      </w:tr>
    </w:tbl>
    <w:p>
      <w:pPr>
        <w:pStyle w:val="622"/>
        <w:spacing w:line="360" w:lineRule="auto"/>
        <w:ind w:firstLine="480" w:firstLineChars="200"/>
        <w:rPr>
          <w:rFonts w:eastAsia="宋体"/>
          <w:color w:val="000000"/>
          <w:sz w:val="24"/>
          <w:szCs w:val="24"/>
          <w:highlight w:val="none"/>
        </w:rPr>
      </w:pPr>
      <w:r>
        <w:rPr>
          <w:rFonts w:eastAsia="宋体"/>
          <w:color w:val="000000"/>
          <w:sz w:val="24"/>
          <w:szCs w:val="24"/>
          <w:highlight w:val="none"/>
        </w:rPr>
        <w:t>（二）履约保证金以银行保函、银行电汇向甲方提供。</w:t>
      </w:r>
    </w:p>
    <w:p>
      <w:pPr>
        <w:ind w:firstLine="480" w:firstLineChars="200"/>
        <w:rPr>
          <w:rFonts w:hint="eastAsia"/>
          <w:color w:val="000000"/>
          <w:sz w:val="24"/>
          <w:highlight w:val="none"/>
        </w:rPr>
      </w:pPr>
      <w:r>
        <w:rPr>
          <w:rFonts w:eastAsia="宋体"/>
          <w:color w:val="000000"/>
          <w:sz w:val="24"/>
          <w:szCs w:val="24"/>
          <w:highlight w:val="none"/>
        </w:rPr>
        <w:t>（三）</w:t>
      </w:r>
      <w:r>
        <w:rPr>
          <w:color w:val="000000"/>
          <w:sz w:val="24"/>
          <w:highlight w:val="none"/>
        </w:rPr>
        <w:t>如乙方未能履行合同规定的义务，甲方有权按照本合同的约定从履约保证金中进行相应扣除。乙方应在甲方扣除履约保证金之日起10个工作日内，及时补充扣除部分金额。</w:t>
      </w:r>
    </w:p>
    <w:p>
      <w:pPr>
        <w:ind w:firstLine="480" w:firstLineChars="200"/>
        <w:rPr>
          <w:rFonts w:hint="eastAsia"/>
          <w:color w:val="000000"/>
          <w:sz w:val="24"/>
          <w:highlight w:val="none"/>
        </w:rPr>
      </w:pPr>
      <w:r>
        <w:rPr>
          <w:color w:val="000000"/>
          <w:sz w:val="24"/>
          <w:highlight w:val="none"/>
        </w:rPr>
        <w:t>（</w:t>
      </w:r>
      <w:r>
        <w:rPr>
          <w:rFonts w:hint="eastAsia"/>
          <w:color w:val="000000"/>
          <w:sz w:val="24"/>
          <w:highlight w:val="none"/>
          <w:lang w:val="en-US" w:eastAsia="zh-CN"/>
        </w:rPr>
        <w:t>四</w:t>
      </w:r>
      <w:r>
        <w:rPr>
          <w:color w:val="000000"/>
          <w:sz w:val="24"/>
          <w:highlight w:val="none"/>
        </w:rPr>
        <w:t>）如乙方不履行合同，或履行合同义务不符合约定使得合同目的不能实现，履约保证金不予退还。</w:t>
      </w:r>
    </w:p>
    <w:p>
      <w:pPr>
        <w:ind w:firstLine="482" w:firstLineChars="200"/>
        <w:rPr>
          <w:rFonts w:hint="eastAsia"/>
          <w:b/>
          <w:bCs/>
          <w:color w:val="000000"/>
          <w:sz w:val="24"/>
          <w:highlight w:val="none"/>
        </w:rPr>
      </w:pPr>
      <w:r>
        <w:rPr>
          <w:b/>
          <w:bCs/>
          <w:color w:val="000000"/>
          <w:sz w:val="24"/>
          <w:highlight w:val="none"/>
        </w:rPr>
        <w:t>第五条 包装</w:t>
      </w:r>
    </w:p>
    <w:p>
      <w:pPr>
        <w:pStyle w:val="624"/>
        <w:spacing w:line="360" w:lineRule="auto"/>
        <w:ind w:firstLine="480" w:firstLineChars="200"/>
        <w:rPr>
          <w:rFonts w:eastAsia="宋体"/>
          <w:color w:val="000000"/>
          <w:sz w:val="24"/>
          <w:szCs w:val="24"/>
          <w:highlight w:val="none"/>
        </w:rPr>
      </w:pPr>
      <w:r>
        <w:rPr>
          <w:rFonts w:eastAsia="宋体"/>
          <w:color w:val="000000"/>
          <w:sz w:val="24"/>
          <w:szCs w:val="24"/>
          <w:highlight w:val="none"/>
        </w:rPr>
        <w:t>（一）除合同另有规定外，乙方提供的全部货物均应按标准</w:t>
      </w:r>
      <w:r>
        <w:rPr>
          <w:rFonts w:eastAsia="宋体"/>
          <w:snapToGrid w:val="0"/>
          <w:color w:val="000000"/>
          <w:kern w:val="0"/>
          <w:sz w:val="24"/>
          <w:szCs w:val="24"/>
          <w:highlight w:val="none"/>
        </w:rPr>
        <w:t>保护措施进行包装，这类包装应适应于远距离运输、防潮、防震、</w:t>
      </w:r>
      <w:r>
        <w:rPr>
          <w:rFonts w:eastAsia="宋体"/>
          <w:color w:val="000000"/>
          <w:sz w:val="24"/>
          <w:szCs w:val="24"/>
          <w:highlight w:val="none"/>
        </w:rPr>
        <w:t>防锈和防野蛮装卸，以确保货物安全无损运抵指定交货地点。</w:t>
      </w:r>
    </w:p>
    <w:p>
      <w:pPr>
        <w:pStyle w:val="624"/>
        <w:spacing w:line="360" w:lineRule="auto"/>
        <w:ind w:firstLine="480" w:firstLineChars="200"/>
        <w:rPr>
          <w:rFonts w:eastAsia="宋体"/>
          <w:color w:val="000000"/>
          <w:sz w:val="24"/>
          <w:szCs w:val="24"/>
          <w:highlight w:val="none"/>
        </w:rPr>
      </w:pPr>
      <w:r>
        <w:rPr>
          <w:rFonts w:eastAsia="宋体"/>
          <w:color w:val="000000"/>
          <w:sz w:val="24"/>
          <w:szCs w:val="24"/>
          <w:highlight w:val="none"/>
        </w:rPr>
        <w:t>（二）乙方应在包装箱外标明产品名称、型号，包装箱内随附一份详细装箱单和质量证书。</w:t>
      </w:r>
    </w:p>
    <w:p>
      <w:pPr>
        <w:ind w:firstLine="480" w:firstLineChars="200"/>
        <w:rPr>
          <w:rFonts w:hint="eastAsia"/>
          <w:color w:val="000000"/>
          <w:sz w:val="24"/>
          <w:highlight w:val="none"/>
        </w:rPr>
      </w:pPr>
      <w:r>
        <w:rPr>
          <w:color w:val="000000"/>
          <w:sz w:val="24"/>
          <w:highlight w:val="none"/>
        </w:rPr>
        <w:t>（三）乙方应承担由于其包装或防护措施不当而引起的货物损坏和丢失的任何损失责任和费用。</w:t>
      </w:r>
    </w:p>
    <w:p>
      <w:pPr>
        <w:ind w:firstLine="482" w:firstLineChars="200"/>
        <w:rPr>
          <w:rFonts w:hint="eastAsia"/>
          <w:b/>
          <w:bCs/>
          <w:color w:val="000000"/>
          <w:sz w:val="24"/>
          <w:highlight w:val="none"/>
        </w:rPr>
      </w:pPr>
      <w:r>
        <w:rPr>
          <w:b/>
          <w:bCs/>
          <w:color w:val="000000"/>
          <w:sz w:val="24"/>
          <w:highlight w:val="none"/>
        </w:rPr>
        <w:t>第六条 交货时间、地点、交货方法（运输方式）</w:t>
      </w:r>
    </w:p>
    <w:p>
      <w:pPr>
        <w:pStyle w:val="625"/>
        <w:spacing w:line="360" w:lineRule="auto"/>
        <w:ind w:firstLine="480" w:firstLineChars="200"/>
        <w:rPr>
          <w:rFonts w:eastAsia="宋体"/>
          <w:color w:val="000000"/>
          <w:sz w:val="24"/>
          <w:szCs w:val="24"/>
          <w:highlight w:val="none"/>
        </w:rPr>
      </w:pPr>
      <w:r>
        <w:rPr>
          <w:rFonts w:eastAsia="宋体"/>
          <w:color w:val="000000"/>
          <w:sz w:val="24"/>
          <w:szCs w:val="24"/>
          <w:highlight w:val="none"/>
        </w:rPr>
        <w:t>（一</w:t>
      </w:r>
      <w:r>
        <w:rPr>
          <w:rFonts w:eastAsia="宋体"/>
          <w:snapToGrid w:val="0"/>
          <w:color w:val="000000"/>
          <w:kern w:val="0"/>
          <w:sz w:val="24"/>
          <w:szCs w:val="24"/>
          <w:highlight w:val="none"/>
        </w:rPr>
        <w:t>）交</w:t>
      </w:r>
      <w:r>
        <w:rPr>
          <w:rFonts w:eastAsia="宋体"/>
          <w:color w:val="000000"/>
          <w:sz w:val="24"/>
          <w:szCs w:val="24"/>
          <w:highlight w:val="none"/>
        </w:rPr>
        <w:t>货时间：</w:t>
      </w:r>
      <w:r>
        <w:rPr>
          <w:rFonts w:hint="eastAsia" w:eastAsia="宋体"/>
          <w:color w:val="000000"/>
          <w:sz w:val="24"/>
          <w:szCs w:val="24"/>
          <w:highlight w:val="none"/>
        </w:rPr>
        <w:t>合同签订后90日内完成交货</w:t>
      </w:r>
      <w:r>
        <w:rPr>
          <w:rFonts w:eastAsia="宋体"/>
          <w:color w:val="000000"/>
          <w:sz w:val="24"/>
          <w:szCs w:val="24"/>
          <w:highlight w:val="none"/>
        </w:rPr>
        <w:t>。</w:t>
      </w:r>
    </w:p>
    <w:p>
      <w:pPr>
        <w:pStyle w:val="626"/>
        <w:spacing w:line="360" w:lineRule="auto"/>
        <w:ind w:firstLine="480" w:firstLineChars="200"/>
        <w:rPr>
          <w:rFonts w:eastAsia="宋体"/>
          <w:color w:val="000000"/>
          <w:sz w:val="24"/>
          <w:szCs w:val="24"/>
          <w:highlight w:val="none"/>
        </w:rPr>
      </w:pPr>
      <w:r>
        <w:rPr>
          <w:rFonts w:hint="eastAsia" w:eastAsia="宋体"/>
          <w:color w:val="000000"/>
          <w:sz w:val="24"/>
          <w:szCs w:val="24"/>
          <w:highlight w:val="none"/>
        </w:rPr>
        <w:t>（二）交货地点：深圳市福田区福强路</w:t>
      </w:r>
      <w:r>
        <w:rPr>
          <w:rFonts w:eastAsia="宋体"/>
          <w:color w:val="000000"/>
          <w:sz w:val="24"/>
          <w:szCs w:val="24"/>
          <w:highlight w:val="none"/>
        </w:rPr>
        <w:t>1011</w:t>
      </w:r>
      <w:r>
        <w:rPr>
          <w:rFonts w:hint="eastAsia" w:eastAsia="宋体"/>
          <w:color w:val="000000"/>
          <w:sz w:val="24"/>
          <w:szCs w:val="24"/>
          <w:highlight w:val="none"/>
        </w:rPr>
        <w:t>号深圳海关福强路办公区</w:t>
      </w:r>
      <w:r>
        <w:rPr>
          <w:rFonts w:eastAsia="宋体"/>
          <w:color w:val="000000"/>
          <w:sz w:val="24"/>
          <w:szCs w:val="24"/>
          <w:highlight w:val="none"/>
        </w:rPr>
        <w:t>A</w:t>
      </w:r>
      <w:r>
        <w:rPr>
          <w:rFonts w:hint="eastAsia" w:eastAsia="宋体"/>
          <w:color w:val="000000"/>
          <w:sz w:val="24"/>
          <w:szCs w:val="24"/>
          <w:highlight w:val="none"/>
        </w:rPr>
        <w:t>栋指定地点。</w:t>
      </w:r>
    </w:p>
    <w:p>
      <w:pPr>
        <w:pStyle w:val="627"/>
        <w:spacing w:line="360" w:lineRule="auto"/>
        <w:ind w:firstLine="480" w:firstLineChars="200"/>
        <w:rPr>
          <w:rFonts w:eastAsia="宋体"/>
          <w:color w:val="000000"/>
          <w:sz w:val="24"/>
          <w:szCs w:val="24"/>
          <w:highlight w:val="none"/>
        </w:rPr>
      </w:pPr>
      <w:r>
        <w:rPr>
          <w:rFonts w:eastAsia="宋体"/>
          <w:color w:val="000000"/>
          <w:sz w:val="24"/>
          <w:szCs w:val="24"/>
          <w:highlight w:val="none"/>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color w:val="000000"/>
          <w:sz w:val="24"/>
          <w:szCs w:val="24"/>
          <w:highlight w:val="none"/>
        </w:rPr>
      </w:pPr>
      <w:r>
        <w:rPr>
          <w:rFonts w:eastAsia="宋体"/>
          <w:color w:val="000000"/>
          <w:sz w:val="24"/>
          <w:szCs w:val="24"/>
          <w:highlight w:val="none"/>
        </w:rPr>
        <w:t>（四）风险责任承担：货物的风险责任和所有权在双方签署设备到货验收签收单/安装调试验收合格报告后由甲方承担和享有，此前的风险责任由乙方承担。</w:t>
      </w:r>
    </w:p>
    <w:p>
      <w:pPr>
        <w:pStyle w:val="629"/>
        <w:spacing w:after="231" w:line="360" w:lineRule="auto"/>
        <w:ind w:firstLine="482" w:firstLineChars="200"/>
        <w:rPr>
          <w:color w:val="000000"/>
          <w:sz w:val="24"/>
          <w:szCs w:val="24"/>
          <w:highlight w:val="none"/>
        </w:rPr>
      </w:pPr>
      <w:r>
        <w:rPr>
          <w:b/>
          <w:bCs/>
          <w:color w:val="000000"/>
          <w:sz w:val="24"/>
          <w:szCs w:val="24"/>
          <w:highlight w:val="none"/>
        </w:rPr>
        <w:t>第七条 货物验收</w:t>
      </w:r>
    </w:p>
    <w:p>
      <w:pPr>
        <w:pStyle w:val="630"/>
        <w:ind w:firstLine="480" w:firstLineChars="200"/>
        <w:rPr>
          <w:color w:val="000000"/>
          <w:sz w:val="24"/>
          <w:szCs w:val="24"/>
          <w:highlight w:val="none"/>
        </w:rPr>
      </w:pPr>
      <w:r>
        <w:rPr>
          <w:color w:val="000000"/>
          <w:sz w:val="24"/>
          <w:szCs w:val="24"/>
          <w:highlight w:val="none"/>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color w:val="000000"/>
          <w:sz w:val="24"/>
          <w:szCs w:val="24"/>
          <w:highlight w:val="none"/>
        </w:rPr>
      </w:pPr>
      <w:r>
        <w:rPr>
          <w:rFonts w:eastAsia="宋体"/>
          <w:color w:val="000000"/>
          <w:sz w:val="24"/>
          <w:szCs w:val="24"/>
          <w:highlight w:val="none"/>
        </w:rPr>
        <w:t>（二）</w:t>
      </w:r>
      <w:r>
        <w:rPr>
          <w:rFonts w:hint="eastAsia" w:eastAsia="宋体"/>
          <w:color w:val="000000"/>
          <w:sz w:val="24"/>
          <w:szCs w:val="24"/>
          <w:highlight w:val="none"/>
        </w:rPr>
        <w:t>收货</w:t>
      </w:r>
      <w:r>
        <w:rPr>
          <w:rFonts w:eastAsia="宋体"/>
          <w:color w:val="000000"/>
          <w:sz w:val="24"/>
          <w:szCs w:val="24"/>
          <w:highlight w:val="none"/>
        </w:rPr>
        <w:t>后</w:t>
      </w:r>
      <w:r>
        <w:rPr>
          <w:rFonts w:hint="eastAsia" w:eastAsia="宋体"/>
          <w:color w:val="000000"/>
          <w:sz w:val="24"/>
          <w:szCs w:val="24"/>
          <w:highlight w:val="none"/>
          <w:u w:val="single"/>
        </w:rPr>
        <w:t xml:space="preserve"> 30 </w:t>
      </w:r>
      <w:r>
        <w:rPr>
          <w:rFonts w:eastAsia="宋体"/>
          <w:color w:val="000000"/>
          <w:sz w:val="24"/>
          <w:szCs w:val="24"/>
          <w:highlight w:val="none"/>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color w:val="000000"/>
          <w:sz w:val="24"/>
          <w:szCs w:val="24"/>
          <w:highlight w:val="none"/>
          <w:u w:val="single"/>
        </w:rPr>
        <w:t xml:space="preserve"> 10  </w:t>
      </w:r>
      <w:r>
        <w:rPr>
          <w:rFonts w:eastAsia="宋体"/>
          <w:color w:val="000000"/>
          <w:sz w:val="24"/>
          <w:szCs w:val="24"/>
          <w:highlight w:val="none"/>
        </w:rPr>
        <w:t>个工作日内提供解决方案。</w:t>
      </w:r>
    </w:p>
    <w:p>
      <w:pPr>
        <w:pStyle w:val="630"/>
        <w:ind w:firstLine="480" w:firstLineChars="200"/>
        <w:rPr>
          <w:color w:val="000000"/>
          <w:sz w:val="24"/>
          <w:szCs w:val="24"/>
          <w:highlight w:val="none"/>
        </w:rPr>
      </w:pPr>
      <w:r>
        <w:rPr>
          <w:color w:val="000000"/>
          <w:sz w:val="24"/>
          <w:szCs w:val="24"/>
          <w:highlight w:val="none"/>
        </w:rPr>
        <w:t>（三）在验收工作中，发现数量不足或有质量、技术等问题，乙方应按照合同要求采取补足、更换或退货等处理措施，并承担由此发生的一切费用和损失。</w:t>
      </w:r>
    </w:p>
    <w:p>
      <w:pPr>
        <w:pStyle w:val="630"/>
        <w:ind w:firstLine="480" w:firstLineChars="200"/>
        <w:rPr>
          <w:color w:val="000000"/>
          <w:sz w:val="24"/>
          <w:szCs w:val="24"/>
          <w:highlight w:val="none"/>
        </w:rPr>
      </w:pPr>
      <w:r>
        <w:rPr>
          <w:color w:val="000000"/>
          <w:sz w:val="24"/>
          <w:szCs w:val="24"/>
          <w:highlight w:val="none"/>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2"/>
        <w:spacing w:line="360" w:lineRule="auto"/>
        <w:ind w:firstLine="480" w:firstLineChars="200"/>
        <w:rPr>
          <w:rFonts w:eastAsia="宋体"/>
          <w:color w:val="000000"/>
          <w:sz w:val="24"/>
          <w:szCs w:val="24"/>
          <w:highlight w:val="none"/>
        </w:rPr>
      </w:pPr>
      <w:r>
        <w:rPr>
          <w:rFonts w:eastAsia="宋体"/>
          <w:color w:val="000000"/>
          <w:sz w:val="24"/>
          <w:szCs w:val="24"/>
          <w:highlight w:val="none"/>
        </w:rPr>
        <w:t>（</w:t>
      </w:r>
      <w:r>
        <w:rPr>
          <w:rFonts w:hint="eastAsia" w:eastAsia="宋体"/>
          <w:color w:val="000000"/>
          <w:sz w:val="24"/>
          <w:szCs w:val="24"/>
          <w:highlight w:val="none"/>
        </w:rPr>
        <w:t>五</w:t>
      </w:r>
      <w:r>
        <w:rPr>
          <w:rFonts w:eastAsia="宋体"/>
          <w:color w:val="000000"/>
          <w:sz w:val="24"/>
          <w:szCs w:val="24"/>
          <w:highlight w:val="none"/>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color w:val="000000"/>
          <w:sz w:val="24"/>
          <w:szCs w:val="24"/>
          <w:highlight w:val="none"/>
        </w:rPr>
      </w:pPr>
      <w:r>
        <w:rPr>
          <w:rFonts w:eastAsia="宋体"/>
          <w:color w:val="000000"/>
          <w:sz w:val="24"/>
          <w:szCs w:val="24"/>
          <w:highlight w:val="none"/>
        </w:rPr>
        <w:t>（</w:t>
      </w:r>
      <w:r>
        <w:rPr>
          <w:rFonts w:hint="eastAsia" w:eastAsia="宋体"/>
          <w:color w:val="000000"/>
          <w:sz w:val="24"/>
          <w:szCs w:val="24"/>
          <w:highlight w:val="none"/>
        </w:rPr>
        <w:t>六</w:t>
      </w:r>
      <w:r>
        <w:rPr>
          <w:rFonts w:eastAsia="宋体"/>
          <w:color w:val="000000"/>
          <w:sz w:val="24"/>
          <w:szCs w:val="24"/>
          <w:highlight w:val="none"/>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color w:val="000000"/>
          <w:sz w:val="24"/>
          <w:szCs w:val="24"/>
          <w:highlight w:val="none"/>
        </w:rPr>
      </w:pPr>
      <w:r>
        <w:rPr>
          <w:b/>
          <w:bCs/>
          <w:color w:val="000000"/>
          <w:sz w:val="24"/>
          <w:szCs w:val="24"/>
          <w:highlight w:val="none"/>
        </w:rPr>
        <w:t>第八条 质量保证</w:t>
      </w:r>
    </w:p>
    <w:p>
      <w:pPr>
        <w:ind w:firstLine="480" w:firstLineChars="200"/>
        <w:rPr>
          <w:rFonts w:hint="eastAsia"/>
          <w:color w:val="000000"/>
          <w:sz w:val="24"/>
          <w:highlight w:val="none"/>
        </w:rPr>
      </w:pPr>
      <w:r>
        <w:rPr>
          <w:color w:val="000000"/>
          <w:sz w:val="24"/>
          <w:highlight w:val="none"/>
        </w:rPr>
        <w:t>（一）乙方应保证所供货物为</w:t>
      </w:r>
      <w:r>
        <w:rPr>
          <w:rFonts w:hint="eastAsia"/>
          <w:color w:val="000000"/>
          <w:sz w:val="24"/>
          <w:highlight w:val="none"/>
          <w:u w:val="single"/>
        </w:rPr>
        <w:t xml:space="preserve">              </w:t>
      </w:r>
      <w:r>
        <w:rPr>
          <w:color w:val="000000"/>
          <w:sz w:val="24"/>
          <w:highlight w:val="none"/>
        </w:rPr>
        <w:t>公司制造生产、原包装、全新未使用过的产品，与投标文件/应答文件承诺一致，并完全符合或高于合同要求的质量、规格和技术性能。</w:t>
      </w:r>
    </w:p>
    <w:p>
      <w:pPr>
        <w:ind w:firstLine="480" w:firstLineChars="200"/>
        <w:rPr>
          <w:rFonts w:hint="eastAsia"/>
          <w:color w:val="000000"/>
          <w:sz w:val="24"/>
          <w:highlight w:val="none"/>
        </w:rPr>
      </w:pPr>
      <w:r>
        <w:rPr>
          <w:color w:val="000000"/>
          <w:sz w:val="24"/>
          <w:highlight w:val="none"/>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rFonts w:hint="eastAsia"/>
          <w:color w:val="000000"/>
          <w:sz w:val="24"/>
          <w:highlight w:val="none"/>
        </w:rPr>
      </w:pPr>
      <w:r>
        <w:rPr>
          <w:color w:val="000000"/>
          <w:sz w:val="24"/>
          <w:highlight w:val="none"/>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rFonts w:hint="eastAsia"/>
          <w:color w:val="000000"/>
          <w:sz w:val="24"/>
          <w:highlight w:val="none"/>
        </w:rPr>
      </w:pPr>
      <w:r>
        <w:rPr>
          <w:color w:val="000000"/>
          <w:sz w:val="24"/>
          <w:highlight w:val="none"/>
        </w:rPr>
        <w:t>（四）在质量保证期内所发现的缺陷，甲方（用户）应尽快以书面形式通知乙方。乙方收到通知后应10日内维修或更换有缺陷的货物或部件。</w:t>
      </w:r>
    </w:p>
    <w:p>
      <w:pPr>
        <w:ind w:firstLine="480" w:firstLineChars="200"/>
        <w:rPr>
          <w:rFonts w:hint="eastAsia"/>
          <w:color w:val="000000"/>
          <w:sz w:val="24"/>
          <w:highlight w:val="none"/>
        </w:rPr>
      </w:pPr>
      <w:r>
        <w:rPr>
          <w:color w:val="000000"/>
          <w:sz w:val="24"/>
          <w:highlight w:val="none"/>
        </w:rPr>
        <w:t>（五）乙方在约定的时间内未能弥补缺陷，甲方（用户）可采取必要的补救措施，但其风险和费用将由乙方承担，甲方（用户）根据合同规定对乙方行使的其他权利不受影响。</w:t>
      </w:r>
    </w:p>
    <w:p>
      <w:pPr>
        <w:ind w:firstLine="480" w:firstLineChars="200"/>
        <w:rPr>
          <w:rFonts w:hint="eastAsia"/>
          <w:color w:val="000000"/>
          <w:sz w:val="24"/>
          <w:highlight w:val="none"/>
        </w:rPr>
      </w:pPr>
      <w:r>
        <w:rPr>
          <w:color w:val="000000"/>
          <w:sz w:val="24"/>
          <w:highlight w:val="none"/>
        </w:rPr>
        <w:t>（六）本合同项目所有货物质量保证期为：自双方签署设备验收合格报告之日起计算</w:t>
      </w:r>
      <w:r>
        <w:rPr>
          <w:rFonts w:hint="eastAsia"/>
          <w:color w:val="000000"/>
          <w:sz w:val="24"/>
          <w:highlight w:val="none"/>
          <w:u w:val="single"/>
        </w:rPr>
        <w:t>整机三</w:t>
      </w:r>
      <w:r>
        <w:rPr>
          <w:color w:val="000000"/>
          <w:sz w:val="24"/>
          <w:highlight w:val="none"/>
        </w:rPr>
        <w:t>年。</w:t>
      </w:r>
    </w:p>
    <w:p>
      <w:pPr>
        <w:ind w:firstLine="482" w:firstLineChars="200"/>
        <w:rPr>
          <w:rFonts w:hint="eastAsia"/>
          <w:b/>
          <w:bCs/>
          <w:color w:val="000000"/>
          <w:sz w:val="24"/>
          <w:highlight w:val="none"/>
        </w:rPr>
      </w:pPr>
      <w:r>
        <w:rPr>
          <w:b/>
          <w:bCs/>
          <w:color w:val="000000"/>
          <w:sz w:val="24"/>
          <w:highlight w:val="none"/>
        </w:rPr>
        <w:t>第九条 培训</w:t>
      </w:r>
    </w:p>
    <w:p>
      <w:pPr>
        <w:ind w:firstLine="480" w:firstLineChars="200"/>
        <w:rPr>
          <w:rFonts w:hint="eastAsia"/>
          <w:b/>
          <w:bCs/>
          <w:color w:val="000000"/>
          <w:sz w:val="24"/>
          <w:highlight w:val="none"/>
        </w:rPr>
      </w:pPr>
      <w:r>
        <w:rPr>
          <w:bCs/>
          <w:color w:val="000000"/>
          <w:sz w:val="24"/>
          <w:highlight w:val="none"/>
        </w:rPr>
        <w:t>本合同所包括的培训详见附件培训方案。</w:t>
      </w:r>
    </w:p>
    <w:p>
      <w:pPr>
        <w:ind w:firstLine="482" w:firstLineChars="200"/>
        <w:rPr>
          <w:rFonts w:hint="eastAsia"/>
          <w:b/>
          <w:bCs/>
          <w:color w:val="000000"/>
          <w:sz w:val="24"/>
          <w:highlight w:val="none"/>
        </w:rPr>
      </w:pPr>
      <w:r>
        <w:rPr>
          <w:b/>
          <w:bCs/>
          <w:color w:val="000000"/>
          <w:sz w:val="24"/>
          <w:highlight w:val="none"/>
        </w:rPr>
        <w:t>第十条 售后服务</w:t>
      </w:r>
    </w:p>
    <w:p>
      <w:pPr>
        <w:ind w:firstLine="480" w:firstLineChars="200"/>
        <w:rPr>
          <w:rFonts w:hint="eastAsia"/>
          <w:color w:val="000000"/>
          <w:sz w:val="24"/>
          <w:highlight w:val="none"/>
        </w:rPr>
      </w:pPr>
      <w:r>
        <w:rPr>
          <w:color w:val="000000"/>
          <w:sz w:val="24"/>
          <w:highlight w:val="none"/>
        </w:rPr>
        <w:t>（一）供应商（制造商）在质量保证期内提供</w:t>
      </w:r>
      <w:r>
        <w:rPr>
          <w:rFonts w:hint="eastAsia"/>
          <w:color w:val="000000"/>
          <w:sz w:val="24"/>
          <w:highlight w:val="none"/>
          <w:u w:val="single"/>
        </w:rPr>
        <w:t xml:space="preserve"> 7*24 </w:t>
      </w:r>
      <w:r>
        <w:rPr>
          <w:color w:val="000000"/>
          <w:sz w:val="24"/>
          <w:highlight w:val="none"/>
        </w:rPr>
        <w:t>小时的技术支持与售后服务，提供专线电话支持服务，</w:t>
      </w:r>
      <w:r>
        <w:rPr>
          <w:rFonts w:hint="eastAsia"/>
          <w:color w:val="000000"/>
          <w:sz w:val="24"/>
          <w:highlight w:val="none"/>
          <w:u w:val="single"/>
        </w:rPr>
        <w:t xml:space="preserve"> 2 </w:t>
      </w:r>
      <w:r>
        <w:rPr>
          <w:color w:val="000000"/>
          <w:sz w:val="24"/>
          <w:highlight w:val="none"/>
        </w:rPr>
        <w:t>小时内响应，保证_</w:t>
      </w:r>
      <w:r>
        <w:rPr>
          <w:rFonts w:hint="eastAsia"/>
          <w:color w:val="000000"/>
          <w:sz w:val="24"/>
          <w:highlight w:val="none"/>
          <w:u w:val="single"/>
        </w:rPr>
        <w:t>48</w:t>
      </w:r>
      <w:r>
        <w:rPr>
          <w:color w:val="000000"/>
          <w:sz w:val="24"/>
          <w:highlight w:val="none"/>
          <w:u w:val="single"/>
        </w:rPr>
        <w:t>_</w:t>
      </w:r>
      <w:r>
        <w:rPr>
          <w:color w:val="000000"/>
          <w:sz w:val="24"/>
          <w:highlight w:val="none"/>
        </w:rPr>
        <w:t>_小时内到达现场并解决故障</w:t>
      </w:r>
      <w:r>
        <w:rPr>
          <w:rFonts w:hint="eastAsia"/>
          <w:color w:val="000000"/>
          <w:sz w:val="24"/>
          <w:highlight w:val="none"/>
        </w:rPr>
        <w:t>（不额外收费）</w:t>
      </w:r>
      <w:r>
        <w:rPr>
          <w:color w:val="000000"/>
          <w:sz w:val="24"/>
          <w:highlight w:val="none"/>
        </w:rPr>
        <w:t>。</w:t>
      </w:r>
    </w:p>
    <w:p>
      <w:pPr>
        <w:ind w:firstLine="480" w:firstLineChars="200"/>
        <w:rPr>
          <w:rFonts w:hint="eastAsia"/>
          <w:color w:val="000000"/>
          <w:sz w:val="24"/>
          <w:highlight w:val="none"/>
        </w:rPr>
      </w:pPr>
      <w:r>
        <w:rPr>
          <w:color w:val="000000"/>
          <w:sz w:val="24"/>
          <w:highlight w:val="none"/>
        </w:rPr>
        <w:t>（二）本合同所包含的售后服务，包含制造商售后服务和代理商售后服务，具体见附件技术支持及售后服务方案。</w:t>
      </w:r>
    </w:p>
    <w:p>
      <w:pPr>
        <w:ind w:firstLine="482" w:firstLineChars="200"/>
        <w:rPr>
          <w:rFonts w:hint="eastAsia"/>
          <w:b/>
          <w:bCs/>
          <w:color w:val="000000"/>
          <w:sz w:val="24"/>
          <w:highlight w:val="none"/>
        </w:rPr>
      </w:pPr>
      <w:r>
        <w:rPr>
          <w:b/>
          <w:bCs/>
          <w:color w:val="000000"/>
          <w:sz w:val="24"/>
          <w:highlight w:val="none"/>
        </w:rPr>
        <w:t>第十一条 违约责任</w:t>
      </w:r>
    </w:p>
    <w:p>
      <w:pPr>
        <w:ind w:firstLine="480" w:firstLineChars="200"/>
        <w:rPr>
          <w:rFonts w:hint="eastAsia"/>
          <w:color w:val="000000"/>
          <w:sz w:val="24"/>
          <w:highlight w:val="none"/>
        </w:rPr>
      </w:pPr>
      <w:r>
        <w:rPr>
          <w:color w:val="000000"/>
          <w:sz w:val="24"/>
          <w:highlight w:val="none"/>
        </w:rPr>
        <w:t>（一）因乙方原因未能按照本合同要求交付合格的货物或提供相关服务的违约责任。</w:t>
      </w:r>
    </w:p>
    <w:p>
      <w:pPr>
        <w:ind w:firstLine="480" w:firstLineChars="200"/>
        <w:rPr>
          <w:rFonts w:hint="eastAsia"/>
          <w:color w:val="000000"/>
          <w:sz w:val="24"/>
          <w:highlight w:val="none"/>
        </w:rPr>
      </w:pPr>
      <w:r>
        <w:rPr>
          <w:color w:val="000000"/>
          <w:sz w:val="24"/>
          <w:highlight w:val="none"/>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rFonts w:hint="eastAsia"/>
          <w:color w:val="000000"/>
          <w:sz w:val="24"/>
          <w:highlight w:val="none"/>
        </w:rPr>
      </w:pPr>
      <w:r>
        <w:rPr>
          <w:color w:val="000000"/>
          <w:sz w:val="24"/>
          <w:highlight w:val="none"/>
        </w:rPr>
        <w:t>（1）退货：甲方将货物退回乙方，乙方将合同货款退还给甲方，并承担由此发生的一切损失和费用。</w:t>
      </w:r>
    </w:p>
    <w:p>
      <w:pPr>
        <w:ind w:firstLine="480" w:firstLineChars="200"/>
        <w:rPr>
          <w:rFonts w:hint="eastAsia"/>
          <w:color w:val="000000"/>
          <w:sz w:val="24"/>
          <w:highlight w:val="none"/>
        </w:rPr>
      </w:pPr>
      <w:r>
        <w:rPr>
          <w:color w:val="000000"/>
          <w:sz w:val="24"/>
          <w:highlight w:val="none"/>
        </w:rPr>
        <w:t>（2）退货重新制作：甲方将货物退回乙方，乙方按照技术标准要求重新制作，并承担由此发生的一切损失和费用。</w:t>
      </w:r>
    </w:p>
    <w:p>
      <w:pPr>
        <w:ind w:firstLine="480" w:firstLineChars="200"/>
        <w:rPr>
          <w:rFonts w:hint="eastAsia"/>
          <w:color w:val="000000"/>
          <w:sz w:val="24"/>
          <w:highlight w:val="none"/>
        </w:rPr>
      </w:pPr>
      <w:r>
        <w:rPr>
          <w:color w:val="000000"/>
          <w:sz w:val="24"/>
          <w:highlight w:val="none"/>
        </w:rPr>
        <w:t>（3）新货替换：乙方用满足技术标准要求的货物替换存在缺陷的产品，承担甲方蒙受的全部损失和费用，并承担由此引发的一切风险，且相应延长所换货物的质量保证期。</w:t>
      </w:r>
    </w:p>
    <w:p>
      <w:pPr>
        <w:ind w:firstLine="480" w:firstLineChars="200"/>
        <w:rPr>
          <w:rFonts w:hint="eastAsia"/>
          <w:color w:val="000000"/>
          <w:sz w:val="24"/>
          <w:highlight w:val="none"/>
        </w:rPr>
      </w:pPr>
      <w:r>
        <w:rPr>
          <w:color w:val="000000"/>
          <w:sz w:val="24"/>
          <w:highlight w:val="none"/>
        </w:rPr>
        <w:t>2.</w:t>
      </w:r>
      <w:r>
        <w:rPr>
          <w:bCs/>
          <w:color w:val="000000"/>
          <w:sz w:val="24"/>
          <w:highlight w:val="none"/>
        </w:rPr>
        <w:t>如果乙方</w:t>
      </w:r>
      <w:r>
        <w:rPr>
          <w:color w:val="000000"/>
          <w:sz w:val="24"/>
          <w:highlight w:val="none"/>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color w:val="000000"/>
          <w:sz w:val="24"/>
          <w:szCs w:val="24"/>
          <w:highlight w:val="none"/>
        </w:rPr>
      </w:pPr>
      <w:r>
        <w:rPr>
          <w:rFonts w:eastAsia="宋体"/>
          <w:color w:val="000000"/>
          <w:sz w:val="24"/>
          <w:szCs w:val="24"/>
          <w:highlight w:val="none"/>
        </w:rPr>
        <w:t>3.对于未能按合同要求提供服务或被证实未提供应当承担的服务的，甲方有权要求限期整改。无合理理由不进行整改的视为根本违约。</w:t>
      </w:r>
    </w:p>
    <w:p>
      <w:pPr>
        <w:ind w:firstLine="480" w:firstLineChars="200"/>
        <w:rPr>
          <w:rFonts w:hint="eastAsia"/>
          <w:color w:val="000000"/>
          <w:sz w:val="24"/>
          <w:highlight w:val="none"/>
        </w:rPr>
      </w:pPr>
      <w:r>
        <w:rPr>
          <w:color w:val="000000"/>
          <w:sz w:val="24"/>
          <w:highlight w:val="none"/>
        </w:rPr>
        <w:t>（二）乙方未按照本合同规定的时间交货和提供服务的违约责任。</w:t>
      </w:r>
    </w:p>
    <w:p>
      <w:pPr>
        <w:pStyle w:val="634"/>
        <w:spacing w:line="360" w:lineRule="auto"/>
        <w:ind w:firstLine="480" w:firstLineChars="200"/>
        <w:rPr>
          <w:rFonts w:eastAsia="宋体"/>
          <w:color w:val="000000"/>
          <w:sz w:val="24"/>
          <w:szCs w:val="24"/>
          <w:highlight w:val="none"/>
        </w:rPr>
      </w:pPr>
      <w:r>
        <w:rPr>
          <w:rFonts w:eastAsia="宋体"/>
          <w:color w:val="000000"/>
          <w:sz w:val="24"/>
          <w:szCs w:val="24"/>
          <w:highlight w:val="none"/>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color w:val="000000"/>
          <w:sz w:val="24"/>
          <w:szCs w:val="24"/>
          <w:highlight w:val="none"/>
        </w:rPr>
      </w:pPr>
      <w:r>
        <w:rPr>
          <w:rFonts w:eastAsia="宋体"/>
          <w:color w:val="000000"/>
          <w:sz w:val="24"/>
          <w:szCs w:val="24"/>
          <w:highlight w:val="none"/>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color w:val="000000"/>
          <w:sz w:val="24"/>
          <w:szCs w:val="24"/>
          <w:highlight w:val="none"/>
        </w:rPr>
      </w:pPr>
      <w:r>
        <w:rPr>
          <w:rFonts w:eastAsia="宋体"/>
          <w:color w:val="000000"/>
          <w:sz w:val="24"/>
          <w:szCs w:val="24"/>
          <w:highlight w:val="none"/>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color w:val="000000"/>
          <w:sz w:val="24"/>
          <w:szCs w:val="24"/>
          <w:highlight w:val="none"/>
        </w:rPr>
      </w:pPr>
      <w:r>
        <w:rPr>
          <w:rFonts w:eastAsia="宋体"/>
          <w:color w:val="000000"/>
          <w:sz w:val="24"/>
          <w:szCs w:val="24"/>
          <w:highlight w:val="none"/>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color w:val="000000"/>
          <w:sz w:val="24"/>
          <w:szCs w:val="24"/>
          <w:highlight w:val="none"/>
        </w:rPr>
      </w:pPr>
      <w:r>
        <w:rPr>
          <w:rFonts w:eastAsia="宋体"/>
          <w:color w:val="000000"/>
          <w:sz w:val="24"/>
          <w:szCs w:val="24"/>
          <w:highlight w:val="none"/>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color w:val="000000"/>
          <w:sz w:val="24"/>
          <w:szCs w:val="24"/>
          <w:highlight w:val="none"/>
        </w:rPr>
      </w:pPr>
      <w:r>
        <w:rPr>
          <w:rFonts w:eastAsia="宋体"/>
          <w:color w:val="000000"/>
          <w:sz w:val="24"/>
          <w:szCs w:val="24"/>
          <w:highlight w:val="none"/>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color w:val="000000"/>
          <w:sz w:val="24"/>
          <w:szCs w:val="24"/>
          <w:highlight w:val="none"/>
        </w:rPr>
      </w:pPr>
      <w:r>
        <w:rPr>
          <w:rFonts w:eastAsia="宋体"/>
          <w:b/>
          <w:bCs/>
          <w:color w:val="000000"/>
          <w:sz w:val="24"/>
          <w:szCs w:val="24"/>
          <w:highlight w:val="none"/>
        </w:rPr>
        <w:t>第十二条 异议的期限和方法</w:t>
      </w:r>
    </w:p>
    <w:p>
      <w:pPr>
        <w:pStyle w:val="636"/>
        <w:spacing w:line="360" w:lineRule="auto"/>
        <w:ind w:firstLine="480" w:firstLineChars="200"/>
        <w:rPr>
          <w:rFonts w:eastAsia="宋体"/>
          <w:color w:val="000000"/>
          <w:sz w:val="24"/>
          <w:szCs w:val="24"/>
          <w:highlight w:val="none"/>
        </w:rPr>
      </w:pPr>
      <w:r>
        <w:rPr>
          <w:rFonts w:eastAsia="宋体"/>
          <w:color w:val="000000"/>
          <w:sz w:val="24"/>
          <w:szCs w:val="24"/>
          <w:highlight w:val="none"/>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color w:val="000000"/>
          <w:sz w:val="24"/>
          <w:szCs w:val="24"/>
          <w:highlight w:val="none"/>
        </w:rPr>
      </w:pPr>
      <w:r>
        <w:rPr>
          <w:rFonts w:eastAsia="宋体"/>
          <w:color w:val="000000"/>
          <w:sz w:val="24"/>
          <w:szCs w:val="24"/>
          <w:highlight w:val="none"/>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color w:val="000000"/>
          <w:sz w:val="24"/>
          <w:szCs w:val="24"/>
          <w:highlight w:val="none"/>
        </w:rPr>
      </w:pPr>
      <w:r>
        <w:rPr>
          <w:rFonts w:eastAsia="宋体"/>
          <w:b/>
          <w:bCs/>
          <w:color w:val="000000"/>
          <w:sz w:val="24"/>
          <w:szCs w:val="24"/>
          <w:highlight w:val="none"/>
        </w:rPr>
        <w:t>第十三条 使用合同文件和资料</w:t>
      </w:r>
    </w:p>
    <w:p>
      <w:pPr>
        <w:pStyle w:val="636"/>
        <w:spacing w:line="360" w:lineRule="auto"/>
        <w:ind w:firstLine="480" w:firstLineChars="200"/>
        <w:rPr>
          <w:rFonts w:eastAsia="宋体"/>
          <w:color w:val="000000"/>
          <w:sz w:val="24"/>
          <w:szCs w:val="24"/>
          <w:highlight w:val="none"/>
        </w:rPr>
      </w:pPr>
      <w:r>
        <w:rPr>
          <w:rFonts w:eastAsia="宋体"/>
          <w:color w:val="000000"/>
          <w:sz w:val="24"/>
          <w:szCs w:val="24"/>
          <w:highlight w:val="none"/>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color w:val="000000"/>
          <w:sz w:val="24"/>
          <w:szCs w:val="24"/>
          <w:highlight w:val="none"/>
        </w:rPr>
      </w:pPr>
      <w:r>
        <w:rPr>
          <w:rFonts w:eastAsia="宋体"/>
          <w:color w:val="000000"/>
          <w:sz w:val="24"/>
          <w:szCs w:val="24"/>
          <w:highlight w:val="none"/>
        </w:rPr>
        <w:t>（二）没有甲方（用户）事先书面同意，除了履行本合同之外，乙方不应使用、传播与本合同相关的任何文件、资料。</w:t>
      </w:r>
    </w:p>
    <w:p>
      <w:pPr>
        <w:ind w:firstLine="482" w:firstLineChars="200"/>
        <w:rPr>
          <w:rFonts w:hint="eastAsia"/>
          <w:b/>
          <w:bCs/>
          <w:color w:val="000000"/>
          <w:sz w:val="24"/>
          <w:highlight w:val="none"/>
        </w:rPr>
      </w:pPr>
      <w:r>
        <w:rPr>
          <w:b/>
          <w:bCs/>
          <w:color w:val="000000"/>
          <w:sz w:val="24"/>
          <w:highlight w:val="none"/>
        </w:rPr>
        <w:t>第十四条 知识产权</w:t>
      </w:r>
    </w:p>
    <w:p>
      <w:pPr>
        <w:ind w:firstLine="480" w:firstLineChars="200"/>
        <w:rPr>
          <w:rFonts w:hint="eastAsia"/>
          <w:color w:val="000000"/>
          <w:sz w:val="24"/>
          <w:highlight w:val="none"/>
        </w:rPr>
      </w:pPr>
      <w:r>
        <w:rPr>
          <w:color w:val="000000"/>
          <w:sz w:val="24"/>
          <w:highlight w:val="none"/>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rFonts w:hint="eastAsia"/>
          <w:color w:val="000000"/>
          <w:sz w:val="24"/>
          <w:highlight w:val="none"/>
        </w:rPr>
      </w:pPr>
      <w:r>
        <w:rPr>
          <w:color w:val="000000"/>
          <w:sz w:val="24"/>
          <w:highlight w:val="none"/>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rFonts w:hint="eastAsia"/>
          <w:color w:val="000000"/>
          <w:sz w:val="24"/>
          <w:highlight w:val="none"/>
        </w:rPr>
      </w:pPr>
      <w:r>
        <w:rPr>
          <w:color w:val="000000"/>
          <w:sz w:val="24"/>
          <w:highlight w:val="none"/>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rFonts w:hint="eastAsia"/>
          <w:b/>
          <w:bCs/>
          <w:color w:val="000000"/>
          <w:sz w:val="24"/>
          <w:highlight w:val="none"/>
        </w:rPr>
      </w:pPr>
      <w:r>
        <w:rPr>
          <w:b/>
          <w:bCs/>
          <w:color w:val="000000"/>
          <w:sz w:val="24"/>
          <w:highlight w:val="none"/>
        </w:rPr>
        <w:t>第十五条 权利瑕疵担保</w:t>
      </w:r>
    </w:p>
    <w:p>
      <w:pPr>
        <w:ind w:firstLine="480" w:firstLineChars="200"/>
        <w:rPr>
          <w:rFonts w:hint="eastAsia"/>
          <w:color w:val="000000"/>
          <w:sz w:val="24"/>
          <w:highlight w:val="none"/>
        </w:rPr>
      </w:pPr>
      <w:r>
        <w:rPr>
          <w:color w:val="000000"/>
          <w:sz w:val="24"/>
          <w:highlight w:val="none"/>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color w:val="000000"/>
          <w:sz w:val="24"/>
          <w:szCs w:val="24"/>
          <w:highlight w:val="none"/>
        </w:rPr>
      </w:pPr>
      <w:r>
        <w:rPr>
          <w:rFonts w:eastAsia="宋体"/>
          <w:color w:val="000000"/>
          <w:sz w:val="24"/>
          <w:szCs w:val="24"/>
          <w:highlight w:val="none"/>
        </w:rPr>
        <w:t>（二）乙方应保证所提供的货物免受第三方提出的任何权利主张，如因第三方提出权利主张给甲方（用户）造成损失的，乙方应予以赔偿。</w:t>
      </w:r>
    </w:p>
    <w:p>
      <w:pPr>
        <w:ind w:firstLine="480" w:firstLineChars="200"/>
        <w:rPr>
          <w:rFonts w:hint="eastAsia"/>
          <w:color w:val="000000"/>
          <w:sz w:val="24"/>
          <w:highlight w:val="none"/>
        </w:rPr>
      </w:pPr>
      <w:r>
        <w:rPr>
          <w:color w:val="000000"/>
          <w:sz w:val="24"/>
          <w:highlight w:val="none"/>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rFonts w:hint="eastAsia"/>
          <w:b/>
          <w:bCs/>
          <w:color w:val="000000"/>
          <w:sz w:val="24"/>
          <w:highlight w:val="none"/>
        </w:rPr>
      </w:pPr>
      <w:r>
        <w:rPr>
          <w:b/>
          <w:bCs/>
          <w:color w:val="000000"/>
          <w:sz w:val="24"/>
          <w:highlight w:val="none"/>
        </w:rPr>
        <w:t>第十六条 不可抗力及其免责</w:t>
      </w:r>
    </w:p>
    <w:p>
      <w:pPr>
        <w:ind w:firstLine="480" w:firstLineChars="200"/>
        <w:rPr>
          <w:rFonts w:hint="eastAsia"/>
          <w:color w:val="000000"/>
          <w:sz w:val="24"/>
          <w:highlight w:val="none"/>
        </w:rPr>
      </w:pPr>
      <w:r>
        <w:rPr>
          <w:color w:val="000000"/>
          <w:sz w:val="24"/>
          <w:highlight w:val="none"/>
        </w:rPr>
        <w:t>（一）如果乙方因不可抗力而导致合同实施延误或不能履行合同义务时，在不可抗力影响的范围内不应该被没收履约保证金，也不承担误期赔偿或终止合同的责任。</w:t>
      </w:r>
    </w:p>
    <w:p>
      <w:pPr>
        <w:ind w:firstLine="480" w:firstLineChars="200"/>
        <w:rPr>
          <w:rFonts w:hint="eastAsia"/>
          <w:color w:val="000000"/>
          <w:sz w:val="24"/>
          <w:highlight w:val="none"/>
        </w:rPr>
      </w:pPr>
      <w:r>
        <w:rPr>
          <w:color w:val="000000"/>
          <w:sz w:val="24"/>
          <w:highlight w:val="none"/>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rFonts w:hint="eastAsia"/>
          <w:color w:val="000000"/>
          <w:sz w:val="24"/>
          <w:highlight w:val="none"/>
        </w:rPr>
      </w:pPr>
      <w:r>
        <w:rPr>
          <w:color w:val="000000"/>
          <w:sz w:val="24"/>
          <w:highlight w:val="none"/>
        </w:rPr>
        <w:t>（三）乙方在延迟履行合同期间由于不可抗力而不能履行合同的，不能被免除责任。</w:t>
      </w:r>
    </w:p>
    <w:p>
      <w:pPr>
        <w:ind w:firstLine="480" w:firstLineChars="200"/>
        <w:rPr>
          <w:rFonts w:hint="eastAsia"/>
          <w:color w:val="000000"/>
          <w:sz w:val="24"/>
          <w:highlight w:val="none"/>
        </w:rPr>
      </w:pPr>
      <w:r>
        <w:rPr>
          <w:color w:val="000000"/>
          <w:sz w:val="24"/>
          <w:highlight w:val="none"/>
        </w:rPr>
        <w:t>（四）甲方（用户）如遇不可抗力，应尽快以书面形式通知乙方，并尽实际可能履行不受不可抗力影响的其他事项。甲方（用户）不承担因不可抗力不能履行合同所造成的损失。</w:t>
      </w:r>
    </w:p>
    <w:p>
      <w:pPr>
        <w:ind w:firstLine="480" w:firstLineChars="200"/>
        <w:rPr>
          <w:rFonts w:hint="eastAsia"/>
          <w:color w:val="000000"/>
          <w:sz w:val="24"/>
          <w:highlight w:val="none"/>
        </w:rPr>
      </w:pPr>
      <w:r>
        <w:rPr>
          <w:color w:val="000000"/>
          <w:sz w:val="24"/>
          <w:highlight w:val="none"/>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rFonts w:hint="eastAsia"/>
          <w:b/>
          <w:bCs/>
          <w:color w:val="000000"/>
          <w:sz w:val="24"/>
          <w:highlight w:val="none"/>
        </w:rPr>
      </w:pPr>
      <w:r>
        <w:rPr>
          <w:b/>
          <w:bCs/>
          <w:color w:val="000000"/>
          <w:sz w:val="24"/>
          <w:highlight w:val="none"/>
        </w:rPr>
        <w:t>第十七条 争议的解决</w:t>
      </w:r>
    </w:p>
    <w:p>
      <w:pPr>
        <w:ind w:firstLine="480" w:firstLineChars="200"/>
        <w:rPr>
          <w:rFonts w:hint="eastAsia"/>
          <w:color w:val="000000"/>
          <w:sz w:val="24"/>
          <w:highlight w:val="none"/>
        </w:rPr>
      </w:pPr>
      <w:r>
        <w:rPr>
          <w:color w:val="000000"/>
          <w:sz w:val="24"/>
          <w:highlight w:val="none"/>
        </w:rPr>
        <w:t>合同实施或与合同有关的一切争议应通过双方友好协商解决。如果友好协商还不能解决，</w:t>
      </w:r>
      <w:r>
        <w:rPr>
          <w:rFonts w:hint="eastAsia"/>
          <w:color w:val="000000"/>
          <w:sz w:val="24"/>
          <w:highlight w:val="none"/>
        </w:rPr>
        <w:t>合同双方均可向甲方所在地人民法院提起诉讼。</w:t>
      </w:r>
      <w:r>
        <w:rPr>
          <w:color w:val="000000"/>
          <w:sz w:val="24"/>
          <w:highlight w:val="none"/>
        </w:rPr>
        <w:t>在</w:t>
      </w:r>
      <w:r>
        <w:rPr>
          <w:rFonts w:hint="eastAsia"/>
          <w:color w:val="000000"/>
          <w:sz w:val="24"/>
          <w:highlight w:val="none"/>
        </w:rPr>
        <w:t>诉讼</w:t>
      </w:r>
      <w:r>
        <w:rPr>
          <w:color w:val="000000"/>
          <w:sz w:val="24"/>
          <w:highlight w:val="none"/>
        </w:rPr>
        <w:t>期间，除正在进行</w:t>
      </w:r>
      <w:r>
        <w:rPr>
          <w:rFonts w:hint="eastAsia"/>
          <w:color w:val="000000"/>
          <w:sz w:val="24"/>
          <w:highlight w:val="none"/>
        </w:rPr>
        <w:t>诉讼</w:t>
      </w:r>
      <w:r>
        <w:rPr>
          <w:color w:val="000000"/>
          <w:sz w:val="24"/>
          <w:highlight w:val="none"/>
        </w:rPr>
        <w:t>的部分外，本合同其他部分应继续履行。</w:t>
      </w:r>
    </w:p>
    <w:p>
      <w:pPr>
        <w:ind w:firstLine="482" w:firstLineChars="200"/>
        <w:rPr>
          <w:rFonts w:hint="eastAsia"/>
          <w:b/>
          <w:bCs/>
          <w:color w:val="000000"/>
          <w:sz w:val="24"/>
          <w:highlight w:val="none"/>
        </w:rPr>
      </w:pPr>
      <w:r>
        <w:rPr>
          <w:b/>
          <w:bCs/>
          <w:color w:val="000000"/>
          <w:sz w:val="24"/>
          <w:highlight w:val="none"/>
        </w:rPr>
        <w:t>第十八条 合同修改或变更</w:t>
      </w:r>
    </w:p>
    <w:p>
      <w:pPr>
        <w:ind w:firstLine="480" w:firstLineChars="200"/>
        <w:rPr>
          <w:rFonts w:hint="eastAsia"/>
          <w:color w:val="000000"/>
          <w:sz w:val="24"/>
          <w:highlight w:val="none"/>
        </w:rPr>
      </w:pPr>
      <w:r>
        <w:rPr>
          <w:color w:val="000000"/>
          <w:sz w:val="24"/>
          <w:highlight w:val="none"/>
        </w:rPr>
        <w:t>（一）如无重大变故，甲乙双方不得擅自变更合同。</w:t>
      </w:r>
    </w:p>
    <w:p>
      <w:pPr>
        <w:ind w:firstLine="480" w:firstLineChars="200"/>
        <w:rPr>
          <w:rFonts w:hint="eastAsia"/>
          <w:color w:val="000000"/>
          <w:sz w:val="24"/>
          <w:highlight w:val="none"/>
        </w:rPr>
      </w:pPr>
      <w:r>
        <w:rPr>
          <w:color w:val="000000"/>
          <w:sz w:val="24"/>
          <w:highlight w:val="none"/>
        </w:rPr>
        <w:t>（二）如确需变更合同，甲乙双方应签署书面变更协议。变更协议为本合同不可分割的一部分。</w:t>
      </w:r>
    </w:p>
    <w:p>
      <w:pPr>
        <w:ind w:firstLine="480" w:firstLineChars="200"/>
        <w:rPr>
          <w:rFonts w:hint="eastAsia"/>
          <w:color w:val="000000"/>
          <w:sz w:val="24"/>
          <w:highlight w:val="none"/>
        </w:rPr>
      </w:pPr>
      <w:r>
        <w:rPr>
          <w:color w:val="000000"/>
          <w:sz w:val="24"/>
          <w:highlight w:val="none"/>
        </w:rPr>
        <w:t>（三）在不改变合同其他条款的前提下，甲方（用户）有权在合同价款10%的范围内追加与合同标的相同的货物或服务，并就此与乙方签订补充合同，乙方不得拒绝。</w:t>
      </w:r>
    </w:p>
    <w:p>
      <w:pPr>
        <w:ind w:firstLine="482" w:firstLineChars="200"/>
        <w:rPr>
          <w:rFonts w:hint="eastAsia"/>
          <w:b/>
          <w:bCs/>
          <w:color w:val="000000"/>
          <w:sz w:val="24"/>
          <w:highlight w:val="none"/>
        </w:rPr>
      </w:pPr>
      <w:r>
        <w:rPr>
          <w:b/>
          <w:bCs/>
          <w:color w:val="000000"/>
          <w:sz w:val="24"/>
          <w:highlight w:val="none"/>
        </w:rPr>
        <w:t>第十九条 合同中止</w:t>
      </w:r>
    </w:p>
    <w:p>
      <w:pPr>
        <w:ind w:firstLine="480" w:firstLineChars="200"/>
        <w:rPr>
          <w:rFonts w:hint="eastAsia"/>
          <w:color w:val="000000"/>
          <w:sz w:val="24"/>
          <w:highlight w:val="none"/>
        </w:rPr>
      </w:pPr>
      <w:r>
        <w:rPr>
          <w:color w:val="000000"/>
          <w:sz w:val="24"/>
          <w:highlight w:val="none"/>
        </w:rPr>
        <w:t>（一）合同在履行过程中，因采购计划调整，甲方（用户）可以要求中止履行，待计划确定后继续履行。</w:t>
      </w:r>
    </w:p>
    <w:p>
      <w:pPr>
        <w:ind w:firstLine="480" w:firstLineChars="200"/>
        <w:rPr>
          <w:rFonts w:hint="eastAsia"/>
          <w:color w:val="000000"/>
          <w:sz w:val="24"/>
          <w:highlight w:val="none"/>
        </w:rPr>
      </w:pPr>
      <w:r>
        <w:rPr>
          <w:color w:val="000000"/>
          <w:sz w:val="24"/>
          <w:highlight w:val="none"/>
        </w:rPr>
        <w:t>（二）合同签订或履行过程中因其他供应商就采购过程或结果提起质疑、投诉、行政复议、行政诉讼的，甲方（用户）认为有必要或财政部责令中止的，应当中止合同的履行。</w:t>
      </w:r>
    </w:p>
    <w:p>
      <w:pPr>
        <w:ind w:firstLine="482" w:firstLineChars="200"/>
        <w:rPr>
          <w:rFonts w:hint="eastAsia"/>
          <w:b/>
          <w:bCs/>
          <w:color w:val="000000"/>
          <w:sz w:val="24"/>
          <w:highlight w:val="none"/>
        </w:rPr>
      </w:pPr>
      <w:r>
        <w:rPr>
          <w:b/>
          <w:bCs/>
          <w:color w:val="000000"/>
          <w:sz w:val="24"/>
          <w:highlight w:val="none"/>
        </w:rPr>
        <w:t>第二十条 合同解除</w:t>
      </w:r>
    </w:p>
    <w:p>
      <w:pPr>
        <w:ind w:firstLine="480" w:firstLineChars="200"/>
        <w:rPr>
          <w:rFonts w:hint="eastAsia"/>
          <w:color w:val="000000"/>
          <w:sz w:val="24"/>
          <w:highlight w:val="none"/>
        </w:rPr>
      </w:pPr>
      <w:r>
        <w:rPr>
          <w:color w:val="000000"/>
          <w:sz w:val="24"/>
          <w:highlight w:val="none"/>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rFonts w:hint="eastAsia"/>
          <w:color w:val="000000"/>
          <w:sz w:val="24"/>
          <w:highlight w:val="none"/>
        </w:rPr>
      </w:pPr>
      <w:r>
        <w:rPr>
          <w:color w:val="000000"/>
          <w:sz w:val="24"/>
          <w:highlight w:val="none"/>
        </w:rPr>
        <w:t>（一）因违约解除合同</w:t>
      </w:r>
    </w:p>
    <w:p>
      <w:pPr>
        <w:ind w:firstLine="480" w:firstLineChars="200"/>
        <w:rPr>
          <w:rFonts w:hint="eastAsia"/>
          <w:color w:val="000000"/>
          <w:sz w:val="24"/>
          <w:highlight w:val="none"/>
        </w:rPr>
      </w:pPr>
      <w:r>
        <w:rPr>
          <w:color w:val="000000"/>
          <w:sz w:val="24"/>
          <w:highlight w:val="none"/>
        </w:rPr>
        <w:t>1.在甲方（用户）对乙方违约而采取的任何补救措施不受影响的情况下，甲方（用户）可向乙方发出书面违约通知书，提出解除部分或全部合同：</w:t>
      </w:r>
    </w:p>
    <w:p>
      <w:pPr>
        <w:ind w:firstLine="480" w:firstLineChars="200"/>
        <w:rPr>
          <w:rFonts w:hint="eastAsia"/>
          <w:color w:val="000000"/>
          <w:sz w:val="24"/>
          <w:highlight w:val="none"/>
        </w:rPr>
      </w:pPr>
      <w:r>
        <w:rPr>
          <w:color w:val="000000"/>
          <w:sz w:val="24"/>
          <w:highlight w:val="none"/>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color w:val="000000"/>
          <w:sz w:val="24"/>
          <w:szCs w:val="24"/>
          <w:highlight w:val="none"/>
        </w:rPr>
      </w:pPr>
      <w:r>
        <w:rPr>
          <w:rFonts w:eastAsia="宋体"/>
          <w:color w:val="000000"/>
          <w:sz w:val="24"/>
          <w:szCs w:val="24"/>
          <w:highlight w:val="none"/>
        </w:rPr>
        <w:t>（2）如果甲方（用户）发现乙方在本合同的竞争或实施中有欺诈行为。</w:t>
      </w:r>
    </w:p>
    <w:p>
      <w:pPr>
        <w:ind w:firstLine="480" w:firstLineChars="200"/>
        <w:rPr>
          <w:rFonts w:hint="eastAsia"/>
          <w:color w:val="000000"/>
          <w:sz w:val="24"/>
          <w:highlight w:val="none"/>
        </w:rPr>
      </w:pPr>
      <w:r>
        <w:rPr>
          <w:color w:val="000000"/>
          <w:sz w:val="24"/>
          <w:highlight w:val="none"/>
        </w:rPr>
        <w:t>（3）如果乙方未能履行合同规定的其他任何义务。</w:t>
      </w:r>
    </w:p>
    <w:p>
      <w:pPr>
        <w:ind w:firstLine="480" w:firstLineChars="200"/>
        <w:rPr>
          <w:rFonts w:hint="eastAsia"/>
          <w:color w:val="000000"/>
          <w:sz w:val="24"/>
          <w:highlight w:val="none"/>
        </w:rPr>
      </w:pPr>
      <w:r>
        <w:rPr>
          <w:color w:val="000000"/>
          <w:sz w:val="24"/>
          <w:highlight w:val="none"/>
        </w:rPr>
        <w:t>2.如果甲方（用户）根据上述规定与乙方全部或部分解除合同，</w:t>
      </w:r>
      <w:r>
        <w:rPr>
          <w:bCs/>
          <w:color w:val="000000"/>
          <w:sz w:val="24"/>
          <w:highlight w:val="none"/>
        </w:rPr>
        <w:t>甲方（用户）可以依其认为适当的条件和方法购买乙方未能提供的货物或服务，乙方应对甲方购买类似货物或服务所超出的费用负责</w:t>
      </w:r>
      <w:r>
        <w:rPr>
          <w:color w:val="000000"/>
          <w:sz w:val="24"/>
          <w:highlight w:val="none"/>
        </w:rPr>
        <w:t>。</w:t>
      </w:r>
      <w:r>
        <w:rPr>
          <w:bCs/>
          <w:color w:val="000000"/>
          <w:sz w:val="24"/>
          <w:highlight w:val="none"/>
        </w:rPr>
        <w:t>同时，乙方应继续执行合同中未解除的部分。</w:t>
      </w:r>
    </w:p>
    <w:p>
      <w:pPr>
        <w:ind w:firstLine="480" w:firstLineChars="200"/>
        <w:rPr>
          <w:rFonts w:hint="eastAsia"/>
          <w:color w:val="000000"/>
          <w:sz w:val="24"/>
          <w:highlight w:val="none"/>
        </w:rPr>
      </w:pPr>
      <w:r>
        <w:rPr>
          <w:color w:val="000000"/>
          <w:sz w:val="24"/>
          <w:highlight w:val="none"/>
        </w:rPr>
        <w:t>（二）因破产而解除合同</w:t>
      </w:r>
    </w:p>
    <w:p>
      <w:pPr>
        <w:ind w:firstLine="480" w:firstLineChars="200"/>
        <w:rPr>
          <w:rFonts w:hint="eastAsia"/>
          <w:color w:val="000000"/>
          <w:sz w:val="24"/>
          <w:highlight w:val="none"/>
        </w:rPr>
      </w:pPr>
      <w:r>
        <w:rPr>
          <w:color w:val="000000"/>
          <w:sz w:val="24"/>
          <w:highlight w:val="none"/>
        </w:rPr>
        <w:t>1.如果乙方破产或无清偿能力，甲方（用户）可在任何时候以书面形式通知乙方，提出解除合同而不给乙方补偿，并有权要求乙方退回甲方（用户）已支付的合同货款。</w:t>
      </w:r>
    </w:p>
    <w:p>
      <w:pPr>
        <w:ind w:firstLine="480" w:firstLineChars="200"/>
        <w:rPr>
          <w:rFonts w:hint="eastAsia"/>
          <w:color w:val="000000"/>
          <w:sz w:val="24"/>
          <w:highlight w:val="none"/>
        </w:rPr>
      </w:pPr>
      <w:r>
        <w:rPr>
          <w:color w:val="000000"/>
          <w:sz w:val="24"/>
          <w:highlight w:val="none"/>
        </w:rPr>
        <w:t>2.该解除合同将不损害或影响甲方已经采取或将要采取的任何行动或补救措施的权利。</w:t>
      </w:r>
    </w:p>
    <w:p>
      <w:pPr>
        <w:ind w:firstLine="480" w:firstLineChars="200"/>
        <w:rPr>
          <w:rFonts w:hint="eastAsia"/>
          <w:color w:val="000000"/>
          <w:sz w:val="24"/>
          <w:highlight w:val="none"/>
        </w:rPr>
      </w:pPr>
      <w:r>
        <w:rPr>
          <w:color w:val="000000"/>
          <w:sz w:val="24"/>
          <w:highlight w:val="none"/>
        </w:rPr>
        <w:t>（三）其他解除合同情况</w:t>
      </w:r>
    </w:p>
    <w:p>
      <w:pPr>
        <w:ind w:firstLine="480" w:firstLineChars="200"/>
        <w:rPr>
          <w:rFonts w:hint="eastAsia"/>
          <w:color w:val="000000"/>
          <w:sz w:val="24"/>
          <w:highlight w:val="none"/>
        </w:rPr>
      </w:pPr>
      <w:r>
        <w:rPr>
          <w:color w:val="000000"/>
          <w:sz w:val="24"/>
          <w:highlight w:val="none"/>
        </w:rPr>
        <w:t>1.若合同继续履行将给甲方造成重大损失的，甲方（用户）可以解除合同而不给予乙方任何补偿。</w:t>
      </w:r>
    </w:p>
    <w:p>
      <w:pPr>
        <w:ind w:firstLine="480" w:firstLineChars="200"/>
        <w:rPr>
          <w:rFonts w:hint="eastAsia"/>
          <w:color w:val="000000"/>
          <w:sz w:val="24"/>
          <w:highlight w:val="none"/>
        </w:rPr>
      </w:pPr>
      <w:r>
        <w:rPr>
          <w:color w:val="000000"/>
          <w:sz w:val="24"/>
          <w:highlight w:val="none"/>
        </w:rPr>
        <w:t>2.乙方在执行合同的过程中发生重大变故，对履行合同有影响的，甲方（用户）可以解除合同而不给予乙方任何补偿。</w:t>
      </w:r>
    </w:p>
    <w:p>
      <w:pPr>
        <w:ind w:firstLine="480" w:firstLineChars="200"/>
        <w:rPr>
          <w:rFonts w:hint="eastAsia"/>
          <w:color w:val="000000"/>
          <w:sz w:val="24"/>
          <w:highlight w:val="none"/>
        </w:rPr>
      </w:pPr>
      <w:r>
        <w:rPr>
          <w:color w:val="000000"/>
          <w:sz w:val="24"/>
          <w:highlight w:val="none"/>
        </w:rPr>
        <w:t>3.甲方（用户）因重大变故取消或部分取消原来的采购任务，导致合同全部或部分内容无需继续履行的，可以解除合同而不给予乙方任何补偿。</w:t>
      </w:r>
    </w:p>
    <w:p>
      <w:pPr>
        <w:ind w:firstLine="482" w:firstLineChars="200"/>
        <w:rPr>
          <w:rFonts w:hint="eastAsia"/>
          <w:b/>
          <w:bCs/>
          <w:color w:val="000000"/>
          <w:sz w:val="24"/>
          <w:highlight w:val="none"/>
        </w:rPr>
      </w:pPr>
      <w:r>
        <w:rPr>
          <w:b/>
          <w:bCs/>
          <w:color w:val="000000"/>
          <w:sz w:val="24"/>
          <w:highlight w:val="none"/>
        </w:rPr>
        <w:t>第二十一条 合同终止</w:t>
      </w:r>
    </w:p>
    <w:p>
      <w:pPr>
        <w:pStyle w:val="639"/>
        <w:autoSpaceDN w:val="0"/>
        <w:spacing w:line="360" w:lineRule="auto"/>
        <w:ind w:firstLine="480" w:firstLineChars="200"/>
        <w:jc w:val="left"/>
        <w:rPr>
          <w:snapToGrid w:val="0"/>
          <w:kern w:val="0"/>
          <w:sz w:val="24"/>
          <w:szCs w:val="24"/>
          <w:highlight w:val="none"/>
        </w:rPr>
      </w:pPr>
      <w:r>
        <w:rPr>
          <w:snapToGrid w:val="0"/>
          <w:kern w:val="0"/>
          <w:sz w:val="24"/>
          <w:szCs w:val="24"/>
          <w:highlight w:val="none"/>
        </w:rPr>
        <w:t>（一）本合同因下列原因而终止：</w:t>
      </w:r>
    </w:p>
    <w:p>
      <w:pPr>
        <w:pStyle w:val="639"/>
        <w:autoSpaceDN w:val="0"/>
        <w:spacing w:line="360" w:lineRule="auto"/>
        <w:ind w:firstLine="480" w:firstLineChars="200"/>
        <w:jc w:val="left"/>
        <w:rPr>
          <w:snapToGrid w:val="0"/>
          <w:kern w:val="0"/>
          <w:sz w:val="24"/>
          <w:szCs w:val="24"/>
          <w:highlight w:val="none"/>
        </w:rPr>
      </w:pPr>
      <w:r>
        <w:rPr>
          <w:snapToGrid w:val="0"/>
          <w:kern w:val="0"/>
          <w:sz w:val="24"/>
          <w:szCs w:val="24"/>
          <w:highlight w:val="none"/>
        </w:rPr>
        <w:t>1.本合同正常履行完毕；</w:t>
      </w:r>
    </w:p>
    <w:p>
      <w:pPr>
        <w:pStyle w:val="639"/>
        <w:autoSpaceDN w:val="0"/>
        <w:spacing w:line="360" w:lineRule="auto"/>
        <w:ind w:firstLine="480" w:firstLineChars="200"/>
        <w:jc w:val="left"/>
        <w:rPr>
          <w:snapToGrid w:val="0"/>
          <w:kern w:val="0"/>
          <w:sz w:val="24"/>
          <w:szCs w:val="24"/>
          <w:highlight w:val="none"/>
        </w:rPr>
      </w:pPr>
      <w:r>
        <w:rPr>
          <w:snapToGrid w:val="0"/>
          <w:kern w:val="0"/>
          <w:sz w:val="24"/>
          <w:szCs w:val="24"/>
          <w:highlight w:val="none"/>
        </w:rPr>
        <w:t>2.合同双方协议终止本合同的履行；</w:t>
      </w:r>
    </w:p>
    <w:p>
      <w:pPr>
        <w:pStyle w:val="639"/>
        <w:autoSpaceDN w:val="0"/>
        <w:spacing w:line="360" w:lineRule="auto"/>
        <w:ind w:firstLine="480" w:firstLineChars="200"/>
        <w:jc w:val="left"/>
        <w:rPr>
          <w:snapToGrid w:val="0"/>
          <w:kern w:val="0"/>
          <w:sz w:val="24"/>
          <w:szCs w:val="24"/>
          <w:highlight w:val="none"/>
        </w:rPr>
      </w:pPr>
      <w:r>
        <w:rPr>
          <w:snapToGrid w:val="0"/>
          <w:kern w:val="0"/>
          <w:sz w:val="24"/>
          <w:szCs w:val="24"/>
          <w:highlight w:val="none"/>
        </w:rPr>
        <w:t>3.不可抗力事件导致本合同无法履行或履行不必要；</w:t>
      </w:r>
    </w:p>
    <w:p>
      <w:pPr>
        <w:pStyle w:val="639"/>
        <w:autoSpaceDN w:val="0"/>
        <w:spacing w:line="360" w:lineRule="auto"/>
        <w:ind w:firstLine="480" w:firstLineChars="200"/>
        <w:jc w:val="left"/>
        <w:rPr>
          <w:snapToGrid w:val="0"/>
          <w:kern w:val="0"/>
          <w:sz w:val="24"/>
          <w:szCs w:val="24"/>
          <w:highlight w:val="none"/>
        </w:rPr>
      </w:pPr>
      <w:r>
        <w:rPr>
          <w:snapToGrid w:val="0"/>
          <w:kern w:val="0"/>
          <w:sz w:val="24"/>
          <w:szCs w:val="24"/>
          <w:highlight w:val="none"/>
        </w:rPr>
        <w:t>4.任何一方行使解除权，解除本合同；</w:t>
      </w:r>
    </w:p>
    <w:p>
      <w:pPr>
        <w:pStyle w:val="639"/>
        <w:autoSpaceDN w:val="0"/>
        <w:spacing w:line="360" w:lineRule="auto"/>
        <w:ind w:firstLine="480" w:firstLineChars="200"/>
        <w:jc w:val="left"/>
        <w:rPr>
          <w:snapToGrid w:val="0"/>
          <w:kern w:val="0"/>
          <w:sz w:val="24"/>
          <w:szCs w:val="24"/>
          <w:highlight w:val="none"/>
        </w:rPr>
      </w:pPr>
      <w:r>
        <w:rPr>
          <w:snapToGrid w:val="0"/>
          <w:kern w:val="0"/>
          <w:sz w:val="24"/>
          <w:szCs w:val="24"/>
          <w:highlight w:val="none"/>
        </w:rPr>
        <w:t>（二）对本合同终止有过错的一方应赔偿另一方因合同终止而受到的损失。</w:t>
      </w:r>
    </w:p>
    <w:p>
      <w:pPr>
        <w:ind w:firstLine="482" w:firstLineChars="200"/>
        <w:rPr>
          <w:rFonts w:hint="eastAsia"/>
          <w:b/>
          <w:bCs/>
          <w:color w:val="000000"/>
          <w:sz w:val="24"/>
          <w:highlight w:val="none"/>
        </w:rPr>
      </w:pPr>
      <w:r>
        <w:rPr>
          <w:b/>
          <w:bCs/>
          <w:color w:val="000000"/>
          <w:sz w:val="24"/>
          <w:highlight w:val="none"/>
        </w:rPr>
        <w:t>第二十二条 其他</w:t>
      </w:r>
    </w:p>
    <w:p>
      <w:pPr>
        <w:ind w:firstLine="480" w:firstLineChars="200"/>
        <w:rPr>
          <w:rFonts w:hint="eastAsia"/>
          <w:color w:val="000000"/>
          <w:sz w:val="24"/>
          <w:highlight w:val="none"/>
        </w:rPr>
      </w:pPr>
      <w:r>
        <w:rPr>
          <w:color w:val="000000"/>
          <w:sz w:val="24"/>
          <w:highlight w:val="none"/>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rFonts w:hint="eastAsia"/>
          <w:b/>
          <w:bCs/>
          <w:color w:val="000000"/>
          <w:sz w:val="24"/>
          <w:highlight w:val="none"/>
        </w:rPr>
      </w:pPr>
      <w:r>
        <w:rPr>
          <w:b/>
          <w:bCs/>
          <w:color w:val="000000"/>
          <w:sz w:val="24"/>
          <w:highlight w:val="none"/>
        </w:rPr>
        <w:t>第二十四条 合同生效</w:t>
      </w:r>
    </w:p>
    <w:p>
      <w:pPr>
        <w:ind w:firstLine="480" w:firstLineChars="200"/>
        <w:rPr>
          <w:rFonts w:hint="eastAsia"/>
          <w:color w:val="000000"/>
          <w:sz w:val="24"/>
          <w:highlight w:val="none"/>
        </w:rPr>
      </w:pPr>
      <w:r>
        <w:rPr>
          <w:color w:val="000000"/>
          <w:sz w:val="24"/>
          <w:highlight w:val="none"/>
        </w:rPr>
        <w:t>本合同一式___份，甲方执___份，乙方执___份；自甲乙双方签字盖章之日起生效。对本合同的任何更改及补充，均需双方共同协商，并以书面形式盖章确认。</w:t>
      </w:r>
    </w:p>
    <w:p>
      <w:pPr>
        <w:rPr>
          <w:rFonts w:hint="eastAsia"/>
          <w:color w:val="000000"/>
          <w:sz w:val="24"/>
          <w:highlight w:val="none"/>
        </w:rPr>
      </w:pPr>
    </w:p>
    <w:p>
      <w:pPr>
        <w:rPr>
          <w:rFonts w:hint="eastAsia"/>
          <w:color w:val="000000"/>
          <w:sz w:val="24"/>
          <w:highlight w:val="none"/>
        </w:rPr>
      </w:pPr>
      <w:r>
        <w:rPr>
          <w:color w:val="000000"/>
          <w:sz w:val="24"/>
          <w:highlight w:val="none"/>
        </w:rPr>
        <w:t>甲方（公章</w:t>
      </w:r>
      <w:r>
        <w:rPr>
          <w:snapToGrid w:val="0"/>
          <w:sz w:val="24"/>
          <w:highlight w:val="none"/>
        </w:rPr>
        <w:t>或合同章</w:t>
      </w:r>
      <w:r>
        <w:rPr>
          <w:color w:val="000000"/>
          <w:sz w:val="24"/>
          <w:highlight w:val="none"/>
        </w:rPr>
        <w:t>）：            乙方（公章</w:t>
      </w:r>
      <w:r>
        <w:rPr>
          <w:snapToGrid w:val="0"/>
          <w:sz w:val="24"/>
          <w:highlight w:val="none"/>
        </w:rPr>
        <w:t>或合同章</w:t>
      </w:r>
      <w:r>
        <w:rPr>
          <w:color w:val="000000"/>
          <w:sz w:val="24"/>
          <w:highlight w:val="none"/>
        </w:rPr>
        <w:t>）：</w:t>
      </w:r>
    </w:p>
    <w:p>
      <w:pPr>
        <w:rPr>
          <w:rFonts w:hint="eastAsia"/>
          <w:color w:val="000000"/>
          <w:sz w:val="24"/>
          <w:highlight w:val="none"/>
        </w:rPr>
      </w:pPr>
      <w:r>
        <w:rPr>
          <w:rFonts w:hint="eastAsia"/>
          <w:color w:val="000000"/>
          <w:sz w:val="24"/>
          <w:highlight w:val="none"/>
        </w:rPr>
        <w:t>甲方代表</w:t>
      </w:r>
      <w:r>
        <w:rPr>
          <w:color w:val="000000"/>
          <w:sz w:val="24"/>
          <w:highlight w:val="none"/>
        </w:rPr>
        <w:t xml:space="preserve">或授权人签字：            </w:t>
      </w:r>
      <w:r>
        <w:rPr>
          <w:rFonts w:hint="eastAsia"/>
          <w:color w:val="000000"/>
          <w:sz w:val="24"/>
          <w:highlight w:val="none"/>
        </w:rPr>
        <w:t>乙方代表</w:t>
      </w:r>
      <w:r>
        <w:rPr>
          <w:color w:val="000000"/>
          <w:sz w:val="24"/>
          <w:highlight w:val="none"/>
        </w:rPr>
        <w:t>或授权人签字：</w:t>
      </w:r>
    </w:p>
    <w:p>
      <w:pPr>
        <w:rPr>
          <w:rFonts w:hint="eastAsia"/>
          <w:color w:val="000000"/>
          <w:sz w:val="24"/>
          <w:highlight w:val="none"/>
        </w:rPr>
      </w:pPr>
      <w:r>
        <w:rPr>
          <w:color w:val="000000"/>
          <w:sz w:val="24"/>
          <w:highlight w:val="none"/>
        </w:rPr>
        <w:t xml:space="preserve">日期： 年  月  日                 日期：   年   月   日    </w:t>
      </w:r>
    </w:p>
    <w:p>
      <w:pPr>
        <w:rPr>
          <w:rFonts w:hint="eastAsia"/>
          <w:color w:val="000000"/>
          <w:sz w:val="24"/>
          <w:highlight w:val="none"/>
        </w:rPr>
      </w:pPr>
      <w:r>
        <w:rPr>
          <w:color w:val="000000"/>
          <w:sz w:val="24"/>
          <w:highlight w:val="none"/>
        </w:rPr>
        <w:t>联系人:                           联系人：</w:t>
      </w:r>
    </w:p>
    <w:p>
      <w:pPr>
        <w:rPr>
          <w:rFonts w:hint="eastAsia"/>
          <w:color w:val="000000"/>
          <w:sz w:val="24"/>
          <w:highlight w:val="none"/>
        </w:rPr>
      </w:pPr>
      <w:r>
        <w:rPr>
          <w:color w:val="000000"/>
          <w:sz w:val="24"/>
          <w:highlight w:val="none"/>
        </w:rPr>
        <w:t>电话:                             电话：</w:t>
      </w:r>
    </w:p>
    <w:p>
      <w:pPr>
        <w:rPr>
          <w:rFonts w:hint="eastAsia"/>
          <w:color w:val="000000"/>
          <w:sz w:val="24"/>
          <w:highlight w:val="none"/>
        </w:rPr>
      </w:pPr>
      <w:r>
        <w:rPr>
          <w:color w:val="000000"/>
          <w:sz w:val="24"/>
          <w:highlight w:val="none"/>
        </w:rPr>
        <w:t>地址：                            地址：</w:t>
      </w:r>
    </w:p>
    <w:p>
      <w:pPr>
        <w:jc w:val="left"/>
        <w:rPr>
          <w:szCs w:val="21"/>
          <w:highlight w:val="none"/>
        </w:rPr>
      </w:pPr>
      <w:r>
        <w:rPr>
          <w:rFonts w:hint="eastAsia"/>
          <w:szCs w:val="21"/>
          <w:highlight w:val="none"/>
        </w:rPr>
        <w:br w:type="page"/>
      </w:r>
    </w:p>
    <w:p>
      <w:pPr>
        <w:pStyle w:val="62"/>
        <w:jc w:val="left"/>
        <w:rPr>
          <w:b w:val="0"/>
          <w:bCs w:val="0"/>
          <w:sz w:val="21"/>
          <w:szCs w:val="21"/>
          <w:highlight w:val="none"/>
        </w:rPr>
      </w:pPr>
      <w:r>
        <w:rPr>
          <w:rFonts w:hint="eastAsia"/>
          <w:b w:val="0"/>
          <w:bCs w:val="0"/>
          <w:sz w:val="21"/>
          <w:szCs w:val="21"/>
          <w:highlight w:val="none"/>
        </w:rPr>
        <w:t>附件1：分项报价表、设备配置清单和技术偏离表</w:t>
      </w:r>
    </w:p>
    <w:p>
      <w:pPr>
        <w:rPr>
          <w:rFonts w:hint="eastAsia"/>
          <w:szCs w:val="21"/>
          <w:highlight w:val="none"/>
        </w:rPr>
      </w:pPr>
      <w:r>
        <w:rPr>
          <w:rFonts w:hint="eastAsia"/>
          <w:szCs w:val="21"/>
          <w:highlight w:val="none"/>
        </w:rPr>
        <w:br w:type="page"/>
      </w:r>
    </w:p>
    <w:p>
      <w:pPr>
        <w:pStyle w:val="62"/>
        <w:shd w:val="clear" w:color="auto" w:fill="FFFFFF"/>
        <w:jc w:val="left"/>
        <w:rPr>
          <w:rFonts w:hint="eastAsia"/>
          <w:b w:val="0"/>
          <w:bCs w:val="0"/>
          <w:sz w:val="21"/>
          <w:szCs w:val="21"/>
          <w:highlight w:val="none"/>
        </w:rPr>
      </w:pPr>
      <w:r>
        <w:rPr>
          <w:rFonts w:hint="eastAsia"/>
          <w:b w:val="0"/>
          <w:bCs w:val="0"/>
          <w:sz w:val="21"/>
          <w:szCs w:val="21"/>
          <w:highlight w:val="none"/>
        </w:rPr>
        <w:t>附件2：培训方案</w:t>
      </w:r>
    </w:p>
    <w:p>
      <w:pPr>
        <w:rPr>
          <w:rFonts w:hint="eastAsia"/>
          <w:szCs w:val="21"/>
          <w:highlight w:val="none"/>
        </w:rPr>
      </w:pPr>
      <w:r>
        <w:rPr>
          <w:rFonts w:hint="eastAsia"/>
          <w:szCs w:val="21"/>
          <w:highlight w:val="none"/>
        </w:rPr>
        <w:br w:type="page"/>
      </w:r>
    </w:p>
    <w:p>
      <w:pPr>
        <w:pStyle w:val="62"/>
        <w:shd w:val="clear" w:color="auto" w:fill="FFFFFF"/>
        <w:jc w:val="left"/>
        <w:rPr>
          <w:rFonts w:hint="eastAsia"/>
          <w:b w:val="0"/>
          <w:bCs w:val="0"/>
          <w:sz w:val="21"/>
          <w:szCs w:val="21"/>
          <w:highlight w:val="none"/>
        </w:rPr>
      </w:pPr>
      <w:r>
        <w:rPr>
          <w:rFonts w:hint="eastAsia"/>
          <w:b w:val="0"/>
          <w:bCs w:val="0"/>
          <w:sz w:val="21"/>
          <w:szCs w:val="21"/>
          <w:highlight w:val="none"/>
        </w:rPr>
        <w:t>附件3：技术支持及售后服务方案</w:t>
      </w:r>
    </w:p>
    <w:p>
      <w:pPr>
        <w:widowControl w:val="0"/>
        <w:shd w:val="clear" w:color="auto" w:fill="auto"/>
        <w:tabs>
          <w:tab w:val="clear" w:pos="426"/>
        </w:tabs>
        <w:adjustRightInd/>
        <w:snapToGrid/>
        <w:spacing w:line="240" w:lineRule="auto"/>
        <w:rPr>
          <w:rFonts w:ascii="Calibri" w:hAnsi="Calibri" w:cs="Times New Roman"/>
          <w:kern w:val="2"/>
          <w:highlight w:val="none"/>
        </w:rPr>
      </w:pPr>
    </w:p>
    <w:p>
      <w:pPr>
        <w:pStyle w:val="62"/>
        <w:rPr>
          <w:highlight w:val="none"/>
        </w:rPr>
      </w:pPr>
      <w:r>
        <w:rPr>
          <w:highlight w:val="none"/>
        </w:rPr>
        <w:br w:type="page"/>
      </w:r>
      <w:bookmarkEnd w:id="72"/>
      <w:bookmarkEnd w:id="73"/>
      <w:bookmarkStart w:id="74" w:name="_Toc4933"/>
      <w:r>
        <w:rPr>
          <w:rFonts w:hint="eastAsia"/>
          <w:highlight w:val="none"/>
        </w:rPr>
        <w:t>第六章 投标资料表</w:t>
      </w:r>
      <w:bookmarkEnd w:id="74"/>
    </w:p>
    <w:p>
      <w:pPr>
        <w:tabs>
          <w:tab w:val="clear" w:pos="426"/>
        </w:tabs>
        <w:spacing w:line="276" w:lineRule="auto"/>
        <w:rPr>
          <w:rFonts w:hint="eastAsia" w:asciiTheme="minorEastAsia" w:hAnsiTheme="minorEastAsia" w:eastAsiaTheme="minorEastAsia"/>
          <w:highlight w:val="none"/>
        </w:rPr>
      </w:pPr>
    </w:p>
    <w:p>
      <w:pPr>
        <w:tabs>
          <w:tab w:val="clear" w:pos="426"/>
        </w:tabs>
        <w:spacing w:line="276" w:lineRule="auto"/>
        <w:rPr>
          <w:rFonts w:hint="eastAsia" w:asciiTheme="minorEastAsia" w:hAnsiTheme="minorEastAsia" w:eastAsiaTheme="minorEastAsia"/>
          <w:highlight w:val="none"/>
        </w:rPr>
      </w:pPr>
    </w:p>
    <w:p>
      <w:pPr>
        <w:tabs>
          <w:tab w:val="clear" w:pos="426"/>
        </w:tabs>
        <w:spacing w:line="276"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投标文件组成：</w:t>
      </w:r>
    </w:p>
    <w:p>
      <w:pPr>
        <w:tabs>
          <w:tab w:val="clear" w:pos="426"/>
        </w:tabs>
        <w:spacing w:line="276" w:lineRule="auto"/>
        <w:rPr>
          <w:rFonts w:hint="eastAsia" w:asciiTheme="minorEastAsia" w:hAnsiTheme="minorEastAsia" w:eastAsiaTheme="minorEastAsia"/>
          <w:highlight w:val="none"/>
        </w:rPr>
      </w:pPr>
    </w:p>
    <w:p>
      <w:pPr>
        <w:tabs>
          <w:tab w:val="clear" w:pos="426"/>
        </w:tabs>
        <w:spacing w:line="276"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密封袋封条格式</w:t>
      </w:r>
    </w:p>
    <w:p>
      <w:pPr>
        <w:tabs>
          <w:tab w:val="clear" w:pos="426"/>
        </w:tabs>
        <w:spacing w:line="276"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投标文件封面格式</w:t>
      </w:r>
    </w:p>
    <w:p>
      <w:pPr>
        <w:tabs>
          <w:tab w:val="clear" w:pos="426"/>
        </w:tabs>
        <w:spacing w:line="276"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目录（目录格式自定）</w:t>
      </w:r>
    </w:p>
    <w:p>
      <w:pPr>
        <w:tabs>
          <w:tab w:val="clear" w:pos="426"/>
        </w:tabs>
        <w:spacing w:line="276" w:lineRule="auto"/>
        <w:rPr>
          <w:rFonts w:hint="eastAsia" w:asciiTheme="minorEastAsia" w:hAnsiTheme="minorEastAsia" w:eastAsiaTheme="minorEastAsia"/>
          <w:highlight w:val="none"/>
        </w:rPr>
      </w:pPr>
      <w:r>
        <w:rPr>
          <w:rFonts w:hint="eastAsia" w:asciiTheme="minorEastAsia" w:hAnsiTheme="minorEastAsia" w:eastAsiaTheme="minorEastAsia"/>
          <w:highlight w:val="none"/>
        </w:rPr>
        <w:t>评标指引表</w:t>
      </w:r>
    </w:p>
    <w:p>
      <w:pPr>
        <w:pStyle w:val="315"/>
        <w:numPr>
          <w:ilvl w:val="255"/>
          <w:numId w:val="0"/>
        </w:numPr>
        <w:spacing w:line="240" w:lineRule="auto"/>
        <w:ind w:left="567" w:leftChars="270"/>
        <w:rPr>
          <w:rFonts w:hint="eastAsia" w:asciiTheme="minorEastAsia" w:hAnsiTheme="minorEastAsia" w:eastAsiaTheme="minorEastAsia"/>
          <w:bCs/>
          <w:sz w:val="21"/>
          <w:szCs w:val="21"/>
          <w:highlight w:val="none"/>
        </w:rPr>
      </w:pPr>
      <w:r>
        <w:rPr>
          <w:rFonts w:hint="eastAsia" w:asciiTheme="minorEastAsia" w:hAnsiTheme="minorEastAsia" w:eastAsiaTheme="minorEastAsia"/>
          <w:sz w:val="21"/>
          <w:szCs w:val="21"/>
          <w:highlight w:val="none"/>
        </w:rPr>
        <w:t>格式1：投标函</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格式2：法定代表人（单位负责人）证明书</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格式3：授权委托书</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格式4：资格条款偏离表</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格式5：法人或者其他组织的营业执照等证明文件</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格式6：投标人资格声明函</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格式7：开标一览表</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格式8：投标分项报价表</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格式9：技术规格偏离表</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格式10：技术保障措施</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格式11：售后服务方案</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格式12：商务条款偏离表</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格式13：投标人综合概况简表</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格式14：企业类型声明函（可选）</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格式15：残疾人福利性单位声明函（可选）</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格式16：同类项目业绩情况</w:t>
      </w:r>
      <w:r>
        <w:rPr>
          <w:rFonts w:hint="eastAsia" w:asciiTheme="minorEastAsia" w:hAnsiTheme="minorEastAsia" w:eastAsiaTheme="minorEastAsia"/>
          <w:sz w:val="21"/>
          <w:szCs w:val="21"/>
          <w:highlight w:val="none"/>
        </w:rPr>
        <w:cr/>
      </w:r>
      <w:r>
        <w:rPr>
          <w:rFonts w:hint="eastAsia" w:asciiTheme="minorEastAsia" w:hAnsiTheme="minorEastAsia" w:eastAsiaTheme="minorEastAsia"/>
          <w:sz w:val="21"/>
          <w:szCs w:val="21"/>
          <w:highlight w:val="none"/>
        </w:rPr>
        <w:t>格式17：相关认证情况</w:t>
      </w:r>
      <w:r>
        <w:rPr>
          <w:rFonts w:hint="eastAsia" w:asciiTheme="minorEastAsia" w:hAnsiTheme="minorEastAsia" w:eastAsiaTheme="minorEastAsia"/>
          <w:sz w:val="21"/>
          <w:szCs w:val="21"/>
          <w:highlight w:val="none"/>
        </w:rPr>
        <w:cr/>
      </w:r>
    </w:p>
    <w:p>
      <w:pPr>
        <w:adjustRightInd/>
        <w:snapToGrid/>
        <w:spacing w:before="280" w:after="290" w:line="377" w:lineRule="auto"/>
        <w:jc w:val="center"/>
        <w:rPr>
          <w:rFonts w:hint="eastAsia"/>
          <w:highlight w:val="none"/>
        </w:rPr>
      </w:pPr>
      <w:r>
        <w:rPr>
          <w:highlight w:val="none"/>
        </w:rPr>
        <w:br w:type="page"/>
      </w:r>
      <w:bookmarkStart w:id="75" w:name="_Toc528170806"/>
      <w:bookmarkStart w:id="76" w:name="_Toc518464366"/>
      <w:bookmarkStart w:id="77" w:name="_Toc528675178"/>
    </w:p>
    <w:p>
      <w:pPr>
        <w:pStyle w:val="62"/>
        <w:rPr>
          <w:highlight w:val="none"/>
        </w:rPr>
      </w:pPr>
      <w:bookmarkStart w:id="78" w:name="_Toc25551"/>
      <w:r>
        <w:rPr>
          <w:rFonts w:hint="eastAsia"/>
          <w:highlight w:val="none"/>
        </w:rPr>
        <w:t>第七章 投标文件格式</w:t>
      </w:r>
      <w:bookmarkEnd w:id="78"/>
    </w:p>
    <w:p>
      <w:pPr>
        <w:adjustRightInd/>
        <w:snapToGrid/>
        <w:spacing w:before="280" w:after="290" w:line="377" w:lineRule="auto"/>
        <w:jc w:val="center"/>
        <w:outlineLvl w:val="2"/>
        <w:rPr>
          <w:rFonts w:hint="eastAsia"/>
          <w:b/>
          <w:sz w:val="24"/>
          <w:highlight w:val="none"/>
        </w:rPr>
      </w:pPr>
      <w:bookmarkStart w:id="79" w:name="_Toc20740"/>
      <w:r>
        <w:rPr>
          <w:rFonts w:hint="eastAsia"/>
          <w:b/>
          <w:sz w:val="24"/>
          <w:highlight w:val="none"/>
        </w:rPr>
        <w:t>投标文件编制说明</w:t>
      </w:r>
      <w:bookmarkEnd w:id="79"/>
    </w:p>
    <w:p>
      <w:pPr>
        <w:tabs>
          <w:tab w:val="clear" w:pos="426"/>
        </w:tabs>
        <w:spacing w:line="276" w:lineRule="auto"/>
        <w:ind w:firstLine="420" w:firstLineChars="200"/>
        <w:rPr>
          <w:rFonts w:hint="eastAsia"/>
          <w:highlight w:val="none"/>
        </w:rPr>
      </w:pPr>
      <w:r>
        <w:rPr>
          <w:rFonts w:hint="eastAsia"/>
          <w:highlight w:val="none"/>
        </w:rPr>
        <w:t>投标供应商在编辑投标文件时，应严格按照招标文件提供的格式进行编写，因未按要求编写导致投标文件不予受理、无效标或废标的，一切后果由供应商自行承担。</w:t>
      </w:r>
    </w:p>
    <w:p>
      <w:pPr>
        <w:adjustRightInd/>
        <w:snapToGrid/>
        <w:spacing w:before="280" w:after="290" w:line="377" w:lineRule="auto"/>
        <w:jc w:val="center"/>
        <w:rPr>
          <w:rFonts w:hint="eastAsia"/>
          <w:b/>
          <w:sz w:val="24"/>
          <w:highlight w:val="none"/>
        </w:rPr>
      </w:pPr>
    </w:p>
    <w:p>
      <w:pPr>
        <w:rPr>
          <w:rFonts w:hint="eastAsia"/>
          <w:b/>
          <w:sz w:val="24"/>
          <w:highlight w:val="none"/>
        </w:rPr>
      </w:pPr>
      <w:r>
        <w:rPr>
          <w:rFonts w:hint="eastAsia"/>
          <w:b/>
          <w:sz w:val="24"/>
          <w:highlight w:val="none"/>
        </w:rPr>
        <w:br w:type="page"/>
      </w:r>
    </w:p>
    <w:p>
      <w:pPr>
        <w:adjustRightInd/>
        <w:snapToGrid/>
        <w:spacing w:before="280" w:after="290" w:line="377" w:lineRule="auto"/>
        <w:jc w:val="center"/>
        <w:rPr>
          <w:rFonts w:hint="eastAsia"/>
          <w:b/>
          <w:sz w:val="24"/>
          <w:highlight w:val="none"/>
        </w:rPr>
      </w:pPr>
      <w:r>
        <w:rPr>
          <w:rFonts w:hint="eastAsia"/>
          <w:b/>
          <w:sz w:val="24"/>
          <w:highlight w:val="none"/>
        </w:rPr>
        <w:t>密封袋封条格式</w:t>
      </w:r>
      <w:bookmarkEnd w:id="75"/>
      <w:bookmarkEnd w:id="76"/>
      <w:bookmarkEnd w:id="77"/>
    </w:p>
    <w:p>
      <w:pPr>
        <w:tabs>
          <w:tab w:val="clear" w:pos="426"/>
        </w:tabs>
        <w:jc w:val="center"/>
        <w:rPr>
          <w:rFonts w:hint="eastAsia"/>
          <w:sz w:val="44"/>
          <w:szCs w:val="44"/>
          <w:highlight w:val="none"/>
          <w:u w:val="single"/>
        </w:rPr>
      </w:pPr>
    </w:p>
    <w:p>
      <w:pPr>
        <w:tabs>
          <w:tab w:val="clear" w:pos="426"/>
        </w:tabs>
        <w:jc w:val="center"/>
        <w:rPr>
          <w:rFonts w:hint="eastAsia"/>
          <w:sz w:val="44"/>
          <w:szCs w:val="44"/>
          <w:highlight w:val="none"/>
        </w:rPr>
      </w:pPr>
      <w:r>
        <w:rPr>
          <w:rFonts w:hint="eastAsia"/>
          <w:sz w:val="44"/>
          <w:szCs w:val="44"/>
          <w:highlight w:val="none"/>
          <w:u w:val="single"/>
        </w:rPr>
        <w:t>农兽残检测全流程全自动样品前处理系统设备采购项目</w:t>
      </w:r>
    </w:p>
    <w:p>
      <w:pPr>
        <w:tabs>
          <w:tab w:val="clear" w:pos="426"/>
        </w:tabs>
        <w:jc w:val="center"/>
        <w:rPr>
          <w:rFonts w:hint="eastAsia"/>
          <w:highlight w:val="none"/>
        </w:rPr>
      </w:pPr>
    </w:p>
    <w:p>
      <w:pPr>
        <w:tabs>
          <w:tab w:val="clear" w:pos="426"/>
        </w:tabs>
        <w:jc w:val="center"/>
        <w:rPr>
          <w:rFonts w:hint="eastAsia"/>
          <w:highlight w:val="none"/>
        </w:rPr>
      </w:pPr>
    </w:p>
    <w:p>
      <w:pPr>
        <w:tabs>
          <w:tab w:val="clear" w:pos="426"/>
        </w:tabs>
        <w:jc w:val="center"/>
        <w:rPr>
          <w:rFonts w:hint="eastAsia"/>
          <w:sz w:val="52"/>
          <w:szCs w:val="52"/>
          <w:highlight w:val="none"/>
        </w:rPr>
      </w:pPr>
      <w:r>
        <w:rPr>
          <w:rFonts w:hint="eastAsia"/>
          <w:sz w:val="52"/>
          <w:szCs w:val="52"/>
          <w:highlight w:val="none"/>
        </w:rPr>
        <w:t>□投标文件</w:t>
      </w:r>
    </w:p>
    <w:p>
      <w:pPr>
        <w:tabs>
          <w:tab w:val="clear" w:pos="426"/>
        </w:tabs>
        <w:jc w:val="center"/>
        <w:rPr>
          <w:rFonts w:hint="eastAsia"/>
          <w:sz w:val="52"/>
          <w:szCs w:val="52"/>
          <w:highlight w:val="none"/>
        </w:rPr>
      </w:pPr>
      <w:r>
        <w:rPr>
          <w:rFonts w:hint="eastAsia"/>
          <w:sz w:val="52"/>
          <w:szCs w:val="52"/>
          <w:highlight w:val="none"/>
        </w:rPr>
        <w:t>□开标信封</w:t>
      </w: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ind w:left="708" w:leftChars="337" w:right="706" w:rightChars="336"/>
        <w:rPr>
          <w:rFonts w:hint="eastAsia"/>
          <w:sz w:val="28"/>
          <w:szCs w:val="28"/>
          <w:highlight w:val="none"/>
        </w:rPr>
      </w:pPr>
      <w:r>
        <w:rPr>
          <w:rFonts w:hint="eastAsia"/>
          <w:sz w:val="28"/>
          <w:szCs w:val="28"/>
          <w:highlight w:val="none"/>
        </w:rPr>
        <w:t>项目编号：</w:t>
      </w:r>
    </w:p>
    <w:p>
      <w:pPr>
        <w:tabs>
          <w:tab w:val="clear" w:pos="426"/>
        </w:tabs>
        <w:ind w:left="708" w:leftChars="337"/>
        <w:rPr>
          <w:rFonts w:hint="eastAsia"/>
          <w:sz w:val="28"/>
          <w:szCs w:val="28"/>
          <w:highlight w:val="none"/>
        </w:rPr>
      </w:pPr>
      <w:r>
        <w:rPr>
          <w:rFonts w:hint="eastAsia"/>
          <w:sz w:val="28"/>
          <w:szCs w:val="28"/>
          <w:highlight w:val="none"/>
        </w:rPr>
        <w:t>投标供应商名称（公章)：</w:t>
      </w:r>
    </w:p>
    <w:p>
      <w:pPr>
        <w:tabs>
          <w:tab w:val="clear" w:pos="426"/>
        </w:tabs>
        <w:ind w:left="708" w:leftChars="337"/>
        <w:rPr>
          <w:rFonts w:hint="eastAsia"/>
          <w:sz w:val="28"/>
          <w:szCs w:val="28"/>
          <w:highlight w:val="none"/>
        </w:rPr>
      </w:pPr>
      <w:r>
        <w:rPr>
          <w:rFonts w:hint="eastAsia"/>
          <w:sz w:val="28"/>
          <w:szCs w:val="28"/>
          <w:highlight w:val="none"/>
        </w:rPr>
        <w:t>投标供应商代表（签字或盖章）：</w:t>
      </w:r>
    </w:p>
    <w:p>
      <w:pPr>
        <w:tabs>
          <w:tab w:val="clear" w:pos="426"/>
        </w:tabs>
        <w:ind w:left="708" w:leftChars="337"/>
        <w:rPr>
          <w:rFonts w:hint="eastAsia"/>
          <w:sz w:val="28"/>
          <w:szCs w:val="28"/>
          <w:highlight w:val="none"/>
        </w:rPr>
      </w:pPr>
      <w:r>
        <w:rPr>
          <w:rFonts w:hint="eastAsia"/>
          <w:sz w:val="28"/>
          <w:szCs w:val="28"/>
          <w:highlight w:val="none"/>
        </w:rPr>
        <w:t>投标截止日期：_</w:t>
      </w:r>
      <w:r>
        <w:rPr>
          <w:sz w:val="28"/>
          <w:szCs w:val="28"/>
          <w:highlight w:val="none"/>
        </w:rPr>
        <w:t>___</w:t>
      </w:r>
      <w:r>
        <w:rPr>
          <w:rFonts w:hint="eastAsia"/>
          <w:sz w:val="28"/>
          <w:szCs w:val="28"/>
          <w:highlight w:val="none"/>
        </w:rPr>
        <w:t>______年____月____日____时____分（</w:t>
      </w:r>
      <w:r>
        <w:rPr>
          <w:sz w:val="28"/>
          <w:szCs w:val="28"/>
          <w:highlight w:val="none"/>
        </w:rPr>
        <w:t>前不得开封</w:t>
      </w:r>
      <w:r>
        <w:rPr>
          <w:rFonts w:hint="eastAsia"/>
          <w:sz w:val="28"/>
          <w:szCs w:val="28"/>
          <w:highlight w:val="none"/>
        </w:rPr>
        <w:t>）</w:t>
      </w:r>
    </w:p>
    <w:p>
      <w:pPr>
        <w:adjustRightInd/>
        <w:snapToGrid/>
        <w:spacing w:before="280" w:after="290" w:line="377" w:lineRule="auto"/>
        <w:jc w:val="center"/>
        <w:rPr>
          <w:rFonts w:hint="eastAsia"/>
          <w:b/>
          <w:sz w:val="24"/>
          <w:highlight w:val="none"/>
        </w:rPr>
      </w:pPr>
      <w:r>
        <w:rPr>
          <w:highlight w:val="none"/>
        </w:rPr>
        <w:br w:type="page"/>
      </w:r>
      <w:bookmarkStart w:id="80" w:name="_Toc528675179"/>
      <w:bookmarkStart w:id="81" w:name="_Toc528170807"/>
      <w:bookmarkStart w:id="82" w:name="_Toc518464367"/>
      <w:r>
        <w:rPr>
          <w:rFonts w:hint="eastAsia"/>
          <w:b/>
          <w:sz w:val="24"/>
          <w:highlight w:val="none"/>
        </w:rPr>
        <w:t>投标文件封面格式</w:t>
      </w:r>
      <w:bookmarkEnd w:id="80"/>
      <w:bookmarkEnd w:id="81"/>
      <w:bookmarkEnd w:id="82"/>
    </w:p>
    <w:p>
      <w:pPr>
        <w:tabs>
          <w:tab w:val="clear" w:pos="426"/>
        </w:tabs>
        <w:jc w:val="right"/>
        <w:rPr>
          <w:rFonts w:hint="eastAsia"/>
          <w:sz w:val="44"/>
          <w:szCs w:val="44"/>
          <w:highlight w:val="none"/>
          <w:u w:val="single"/>
        </w:rPr>
      </w:pPr>
      <w:r>
        <w:rPr>
          <w:rFonts w:hint="eastAsia"/>
          <w:sz w:val="44"/>
          <w:szCs w:val="44"/>
          <w:highlight w:val="none"/>
          <w:u w:val="single"/>
        </w:rPr>
        <w:t>正/副本</w:t>
      </w:r>
    </w:p>
    <w:p>
      <w:pPr>
        <w:tabs>
          <w:tab w:val="clear" w:pos="426"/>
        </w:tabs>
        <w:jc w:val="center"/>
        <w:rPr>
          <w:rFonts w:hint="eastAsia"/>
          <w:sz w:val="44"/>
          <w:szCs w:val="44"/>
          <w:highlight w:val="none"/>
          <w:u w:val="single"/>
        </w:rPr>
      </w:pPr>
    </w:p>
    <w:p>
      <w:pPr>
        <w:tabs>
          <w:tab w:val="clear" w:pos="426"/>
        </w:tabs>
        <w:jc w:val="center"/>
        <w:rPr>
          <w:rFonts w:hint="eastAsia"/>
          <w:sz w:val="44"/>
          <w:szCs w:val="44"/>
          <w:highlight w:val="none"/>
        </w:rPr>
      </w:pPr>
      <w:r>
        <w:rPr>
          <w:rFonts w:hint="eastAsia"/>
          <w:sz w:val="44"/>
          <w:szCs w:val="44"/>
          <w:highlight w:val="none"/>
          <w:u w:val="single"/>
        </w:rPr>
        <w:t>农兽残检测全流程全自动样品前处理系统设备采购项目</w:t>
      </w:r>
    </w:p>
    <w:p>
      <w:pPr>
        <w:tabs>
          <w:tab w:val="clear" w:pos="426"/>
        </w:tabs>
        <w:jc w:val="center"/>
        <w:rPr>
          <w:rFonts w:hint="eastAsia"/>
          <w:highlight w:val="none"/>
        </w:rPr>
      </w:pPr>
    </w:p>
    <w:p>
      <w:pPr>
        <w:tabs>
          <w:tab w:val="clear" w:pos="426"/>
        </w:tabs>
        <w:jc w:val="center"/>
        <w:rPr>
          <w:rFonts w:hint="eastAsia"/>
          <w:highlight w:val="none"/>
        </w:rPr>
      </w:pPr>
    </w:p>
    <w:p>
      <w:pPr>
        <w:tabs>
          <w:tab w:val="clear" w:pos="426"/>
        </w:tabs>
        <w:jc w:val="center"/>
        <w:rPr>
          <w:rFonts w:hint="eastAsia"/>
          <w:sz w:val="52"/>
          <w:szCs w:val="52"/>
          <w:highlight w:val="none"/>
        </w:rPr>
      </w:pPr>
      <w:r>
        <w:rPr>
          <w:rFonts w:hint="eastAsia"/>
          <w:sz w:val="52"/>
          <w:szCs w:val="52"/>
          <w:highlight w:val="none"/>
        </w:rPr>
        <w:t>投标文件</w:t>
      </w:r>
    </w:p>
    <w:p>
      <w:pPr>
        <w:tabs>
          <w:tab w:val="clear" w:pos="426"/>
        </w:tabs>
        <w:jc w:val="center"/>
        <w:rPr>
          <w:rFonts w:hint="eastAsia"/>
          <w:highlight w:val="none"/>
        </w:rPr>
      </w:pPr>
    </w:p>
    <w:p>
      <w:pPr>
        <w:tabs>
          <w:tab w:val="clear" w:pos="426"/>
        </w:tabs>
        <w:jc w:val="center"/>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rPr>
          <w:rFonts w:hint="eastAsia"/>
          <w:highlight w:val="none"/>
        </w:rPr>
      </w:pPr>
    </w:p>
    <w:p>
      <w:pPr>
        <w:tabs>
          <w:tab w:val="clear" w:pos="426"/>
        </w:tabs>
        <w:ind w:left="1275" w:leftChars="607"/>
        <w:rPr>
          <w:rFonts w:hint="eastAsia"/>
          <w:sz w:val="28"/>
          <w:szCs w:val="28"/>
          <w:highlight w:val="none"/>
        </w:rPr>
      </w:pPr>
      <w:r>
        <w:rPr>
          <w:rFonts w:hint="eastAsia"/>
          <w:sz w:val="28"/>
          <w:szCs w:val="28"/>
          <w:highlight w:val="none"/>
        </w:rPr>
        <w:t>项目编号：</w:t>
      </w:r>
    </w:p>
    <w:p>
      <w:pPr>
        <w:tabs>
          <w:tab w:val="clear" w:pos="426"/>
        </w:tabs>
        <w:ind w:left="1275" w:leftChars="607"/>
        <w:rPr>
          <w:rFonts w:hint="eastAsia"/>
          <w:sz w:val="28"/>
          <w:szCs w:val="28"/>
          <w:highlight w:val="none"/>
        </w:rPr>
      </w:pPr>
      <w:r>
        <w:rPr>
          <w:rFonts w:hint="eastAsia"/>
          <w:sz w:val="28"/>
          <w:szCs w:val="28"/>
          <w:highlight w:val="none"/>
        </w:rPr>
        <w:t>投标供应商名称（公章)：</w:t>
      </w:r>
    </w:p>
    <w:p>
      <w:pPr>
        <w:tabs>
          <w:tab w:val="clear" w:pos="426"/>
        </w:tabs>
        <w:ind w:left="1275" w:leftChars="607"/>
        <w:rPr>
          <w:rFonts w:hint="eastAsia"/>
          <w:sz w:val="28"/>
          <w:szCs w:val="28"/>
          <w:highlight w:val="none"/>
        </w:rPr>
      </w:pPr>
      <w:r>
        <w:rPr>
          <w:rFonts w:hint="eastAsia"/>
          <w:sz w:val="28"/>
          <w:szCs w:val="28"/>
          <w:highlight w:val="none"/>
        </w:rPr>
        <w:t>投标供应商代表（签字或盖章）：</w:t>
      </w:r>
    </w:p>
    <w:p>
      <w:pPr>
        <w:tabs>
          <w:tab w:val="clear" w:pos="426"/>
        </w:tabs>
        <w:ind w:left="1275" w:leftChars="607"/>
        <w:rPr>
          <w:rFonts w:hint="eastAsia"/>
          <w:sz w:val="28"/>
          <w:szCs w:val="28"/>
          <w:highlight w:val="none"/>
        </w:rPr>
      </w:pPr>
      <w:r>
        <w:rPr>
          <w:rFonts w:hint="eastAsia"/>
          <w:sz w:val="28"/>
          <w:szCs w:val="28"/>
          <w:highlight w:val="none"/>
        </w:rPr>
        <w:t>投标日期：_</w:t>
      </w:r>
      <w:r>
        <w:rPr>
          <w:sz w:val="28"/>
          <w:szCs w:val="28"/>
          <w:highlight w:val="none"/>
        </w:rPr>
        <w:t>___</w:t>
      </w:r>
      <w:r>
        <w:rPr>
          <w:rFonts w:hint="eastAsia"/>
          <w:sz w:val="28"/>
          <w:szCs w:val="28"/>
          <w:highlight w:val="none"/>
        </w:rPr>
        <w:t>______年____月____日</w:t>
      </w:r>
    </w:p>
    <w:p>
      <w:pPr>
        <w:tabs>
          <w:tab w:val="clear" w:pos="426"/>
        </w:tabs>
        <w:rPr>
          <w:rFonts w:hint="eastAsia"/>
          <w:highlight w:val="none"/>
        </w:rPr>
      </w:pPr>
    </w:p>
    <w:p>
      <w:pPr>
        <w:adjustRightInd/>
        <w:snapToGrid/>
        <w:spacing w:before="280" w:after="290" w:line="377" w:lineRule="auto"/>
        <w:jc w:val="center"/>
        <w:rPr>
          <w:rFonts w:hint="eastAsia"/>
          <w:b/>
          <w:sz w:val="24"/>
          <w:highlight w:val="none"/>
        </w:rPr>
      </w:pPr>
      <w:r>
        <w:rPr>
          <w:highlight w:val="none"/>
        </w:rPr>
        <w:br w:type="page"/>
      </w:r>
      <w:bookmarkStart w:id="83" w:name="_Toc528675180"/>
      <w:bookmarkStart w:id="84" w:name="_Toc528170808"/>
      <w:bookmarkStart w:id="85" w:name="_Toc518464368"/>
      <w:r>
        <w:rPr>
          <w:rFonts w:hint="eastAsia"/>
          <w:b/>
          <w:sz w:val="24"/>
          <w:highlight w:val="none"/>
        </w:rPr>
        <w:t>投标文件目录（目录格式自定）</w:t>
      </w:r>
      <w:bookmarkEnd w:id="83"/>
      <w:bookmarkEnd w:id="84"/>
      <w:bookmarkEnd w:id="85"/>
    </w:p>
    <w:p>
      <w:pPr>
        <w:tabs>
          <w:tab w:val="clear" w:pos="426"/>
        </w:tabs>
        <w:rPr>
          <w:rFonts w:hint="eastAsia"/>
          <w:highlight w:val="none"/>
        </w:rPr>
      </w:pPr>
      <w:r>
        <w:rPr>
          <w:rFonts w:hint="eastAsia"/>
          <w:highlight w:val="none"/>
        </w:rPr>
        <w:t>按照招标文件的要求编制投标文件相应内容，请标明各部分内容的页码。</w:t>
      </w:r>
    </w:p>
    <w:p>
      <w:pPr>
        <w:tabs>
          <w:tab w:val="clear" w:pos="426"/>
        </w:tabs>
        <w:rPr>
          <w:rFonts w:hint="eastAsia"/>
          <w:highlight w:val="none"/>
        </w:rPr>
      </w:pPr>
    </w:p>
    <w:p>
      <w:pPr>
        <w:tabs>
          <w:tab w:val="clear" w:pos="426"/>
        </w:tabs>
        <w:rPr>
          <w:rFonts w:hint="eastAsia"/>
          <w:highlight w:val="none"/>
        </w:rPr>
      </w:pPr>
    </w:p>
    <w:p>
      <w:pPr>
        <w:adjustRightInd/>
        <w:snapToGrid/>
        <w:spacing w:before="280" w:after="290" w:line="377" w:lineRule="auto"/>
        <w:jc w:val="center"/>
        <w:rPr>
          <w:rFonts w:hint="eastAsia"/>
          <w:b/>
          <w:sz w:val="24"/>
          <w:highlight w:val="none"/>
        </w:rPr>
      </w:pPr>
      <w:r>
        <w:rPr>
          <w:highlight w:val="none"/>
        </w:rPr>
        <w:br w:type="page"/>
      </w:r>
      <w:bookmarkStart w:id="86" w:name="_Toc528170809"/>
      <w:bookmarkStart w:id="87" w:name="_Toc528675181"/>
      <w:bookmarkStart w:id="88" w:name="_Toc518464369"/>
      <w:r>
        <w:rPr>
          <w:rFonts w:hint="eastAsia"/>
          <w:b/>
          <w:sz w:val="24"/>
          <w:highlight w:val="none"/>
        </w:rPr>
        <w:t>评标指引表</w:t>
      </w:r>
      <w:bookmarkEnd w:id="86"/>
      <w:bookmarkEnd w:id="87"/>
      <w:bookmarkEnd w:id="88"/>
    </w:p>
    <w:p>
      <w:pPr>
        <w:tabs>
          <w:tab w:val="clear" w:pos="426"/>
        </w:tabs>
        <w:jc w:val="center"/>
        <w:rPr>
          <w:rFonts w:hint="eastAsia"/>
          <w:b/>
          <w:highlight w:val="none"/>
        </w:rPr>
      </w:pPr>
      <w:r>
        <w:rPr>
          <w:rFonts w:hint="eastAsia"/>
          <w:b/>
          <w:highlight w:val="none"/>
        </w:rPr>
        <w:t>（置于投标文件的首页）</w:t>
      </w:r>
    </w:p>
    <w:p>
      <w:pPr>
        <w:tabs>
          <w:tab w:val="clear" w:pos="426"/>
        </w:tabs>
        <w:ind w:firstLine="420" w:firstLineChars="200"/>
        <w:rPr>
          <w:rFonts w:hint="eastAsia"/>
          <w:highlight w:val="none"/>
        </w:rPr>
      </w:pPr>
      <w:r>
        <w:rPr>
          <w:rFonts w:hint="eastAsia"/>
          <w:szCs w:val="21"/>
          <w:highlight w:val="none"/>
        </w:rPr>
        <w:t>为方便参与该项目的评委专家的评标，快速找到评标事项与该项目投标文件所对应的位置，请投标供应商参照下表格式，编制本项目评标指引表。</w:t>
      </w:r>
    </w:p>
    <w:p>
      <w:pPr>
        <w:pStyle w:val="7"/>
        <w:tabs>
          <w:tab w:val="clear" w:pos="426"/>
        </w:tabs>
        <w:ind w:firstLine="0"/>
        <w:rPr>
          <w:highlight w:val="none"/>
        </w:rPr>
      </w:pPr>
      <w:r>
        <w:rPr>
          <w:rFonts w:hint="eastAsia"/>
          <w:highlight w:val="none"/>
        </w:rPr>
        <w:t>项目名称：</w:t>
      </w:r>
    </w:p>
    <w:p>
      <w:pPr>
        <w:pStyle w:val="7"/>
        <w:tabs>
          <w:tab w:val="clear" w:pos="426"/>
        </w:tabs>
        <w:ind w:firstLine="0"/>
        <w:rPr>
          <w:highlight w:val="none"/>
        </w:rPr>
      </w:pPr>
      <w:r>
        <w:rPr>
          <w:rFonts w:hint="eastAsia"/>
          <w:highlight w:val="none"/>
        </w:rPr>
        <w:t>项目编号：</w:t>
      </w:r>
    </w:p>
    <w:p>
      <w:pPr>
        <w:tabs>
          <w:tab w:val="clear" w:pos="426"/>
        </w:tabs>
        <w:jc w:val="center"/>
        <w:rPr>
          <w:rFonts w:hint="eastAsia"/>
          <w:b/>
          <w:highlight w:val="none"/>
        </w:rPr>
      </w:pPr>
      <w:r>
        <w:rPr>
          <w:rFonts w:hint="eastAsia"/>
          <w:b/>
          <w:highlight w:val="none"/>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jc w:val="center"/>
              <w:rPr>
                <w:rFonts w:hint="eastAsia"/>
                <w:b/>
                <w:highlight w:val="none"/>
              </w:rPr>
            </w:pPr>
            <w:r>
              <w:rPr>
                <w:rFonts w:hint="eastAsia"/>
                <w:b/>
                <w:highlight w:val="none"/>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highlight w:val="none"/>
              </w:rPr>
            </w:pPr>
            <w:r>
              <w:rPr>
                <w:rFonts w:hint="eastAsia"/>
                <w:b/>
                <w:highlight w:val="none"/>
              </w:rPr>
              <w:t>序号</w:t>
            </w:r>
          </w:p>
        </w:tc>
        <w:tc>
          <w:tcPr>
            <w:tcW w:w="4203" w:type="dxa"/>
            <w:gridSpan w:val="2"/>
            <w:vAlign w:val="center"/>
          </w:tcPr>
          <w:p>
            <w:pPr>
              <w:tabs>
                <w:tab w:val="clear" w:pos="426"/>
              </w:tabs>
              <w:adjustRightInd/>
              <w:snapToGrid/>
              <w:spacing w:line="240" w:lineRule="auto"/>
              <w:ind w:firstLine="422"/>
              <w:jc w:val="center"/>
              <w:rPr>
                <w:rFonts w:hint="eastAsia"/>
                <w:b/>
                <w:kern w:val="2"/>
                <w:highlight w:val="none"/>
              </w:rPr>
            </w:pPr>
            <w:r>
              <w:rPr>
                <w:rFonts w:hint="eastAsia"/>
                <w:b/>
                <w:highlight w:val="none"/>
              </w:rPr>
              <w:t>资格性检查项目</w:t>
            </w:r>
          </w:p>
        </w:tc>
        <w:tc>
          <w:tcPr>
            <w:tcW w:w="3105" w:type="dxa"/>
            <w:gridSpan w:val="3"/>
            <w:vAlign w:val="center"/>
          </w:tcPr>
          <w:p>
            <w:pPr>
              <w:tabs>
                <w:tab w:val="clear" w:pos="426"/>
              </w:tabs>
              <w:adjustRightInd/>
              <w:snapToGrid/>
              <w:spacing w:line="240" w:lineRule="auto"/>
              <w:jc w:val="center"/>
              <w:rPr>
                <w:rFonts w:hint="eastAsia"/>
                <w:b/>
                <w:highlight w:val="none"/>
              </w:rPr>
            </w:pPr>
            <w:r>
              <w:rPr>
                <w:rFonts w:hint="eastAsia"/>
                <w:b/>
                <w:highlight w:val="none"/>
              </w:rPr>
              <w:t>证明文件</w:t>
            </w:r>
          </w:p>
        </w:tc>
        <w:tc>
          <w:tcPr>
            <w:tcW w:w="1397" w:type="dxa"/>
            <w:vAlign w:val="center"/>
          </w:tcPr>
          <w:p>
            <w:pPr>
              <w:tabs>
                <w:tab w:val="clear" w:pos="426"/>
              </w:tabs>
              <w:adjustRightInd/>
              <w:snapToGrid/>
              <w:spacing w:line="240" w:lineRule="auto"/>
              <w:jc w:val="center"/>
              <w:rPr>
                <w:rFonts w:hint="eastAsia"/>
                <w:b/>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rFonts w:hint="eastAsia"/>
                <w:b/>
                <w:highlight w:val="none"/>
              </w:rPr>
            </w:pPr>
            <w:r>
              <w:rPr>
                <w:rFonts w:hint="eastAsia"/>
                <w:b/>
                <w:highlight w:val="none"/>
              </w:rPr>
              <w:t>1</w:t>
            </w:r>
          </w:p>
        </w:tc>
        <w:tc>
          <w:tcPr>
            <w:tcW w:w="4203" w:type="dxa"/>
            <w:gridSpan w:val="2"/>
            <w:vMerge w:val="restart"/>
            <w:vAlign w:val="center"/>
          </w:tcPr>
          <w:p>
            <w:pPr>
              <w:tabs>
                <w:tab w:val="clear" w:pos="426"/>
              </w:tabs>
              <w:adjustRightInd/>
              <w:snapToGrid/>
              <w:spacing w:line="240" w:lineRule="auto"/>
              <w:jc w:val="center"/>
              <w:rPr>
                <w:rFonts w:hint="eastAsia"/>
                <w:b/>
                <w:kern w:val="2"/>
                <w:highlight w:val="none"/>
              </w:rPr>
            </w:pPr>
            <w:r>
              <w:rPr>
                <w:rFonts w:hint="eastAsia"/>
                <w:highlight w:val="none"/>
              </w:rPr>
              <w:t>申请人的资格要求</w:t>
            </w:r>
          </w:p>
        </w:tc>
        <w:tc>
          <w:tcPr>
            <w:tcW w:w="3105" w:type="dxa"/>
            <w:gridSpan w:val="3"/>
            <w:vAlign w:val="center"/>
          </w:tcPr>
          <w:p>
            <w:pPr>
              <w:tabs>
                <w:tab w:val="clear" w:pos="426"/>
              </w:tabs>
              <w:adjustRightInd/>
              <w:snapToGrid/>
              <w:spacing w:line="240" w:lineRule="auto"/>
              <w:jc w:val="center"/>
              <w:rPr>
                <w:rFonts w:hint="eastAsia"/>
                <w:kern w:val="2"/>
                <w:highlight w:val="none"/>
              </w:rPr>
            </w:pPr>
            <w:r>
              <w:rPr>
                <w:rFonts w:hint="eastAsia"/>
                <w:highlight w:val="none"/>
              </w:rPr>
              <w:t>营业执照</w:t>
            </w: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highlight w:val="none"/>
              </w:rPr>
            </w:pPr>
          </w:p>
        </w:tc>
        <w:tc>
          <w:tcPr>
            <w:tcW w:w="4203" w:type="dxa"/>
            <w:gridSpan w:val="2"/>
            <w:vMerge w:val="continue"/>
            <w:vAlign w:val="center"/>
          </w:tcPr>
          <w:p>
            <w:pPr>
              <w:tabs>
                <w:tab w:val="clear" w:pos="426"/>
              </w:tabs>
              <w:adjustRightInd/>
              <w:snapToGrid/>
              <w:spacing w:line="240" w:lineRule="auto"/>
              <w:jc w:val="center"/>
              <w:rPr>
                <w:rFonts w:hint="eastAsia"/>
                <w:highlight w:val="none"/>
              </w:rPr>
            </w:pPr>
          </w:p>
        </w:tc>
        <w:tc>
          <w:tcPr>
            <w:tcW w:w="3105" w:type="dxa"/>
            <w:gridSpan w:val="3"/>
            <w:vAlign w:val="center"/>
          </w:tcPr>
          <w:p>
            <w:pPr>
              <w:tabs>
                <w:tab w:val="clear" w:pos="426"/>
              </w:tabs>
              <w:adjustRightInd/>
              <w:snapToGrid/>
              <w:spacing w:line="240" w:lineRule="auto"/>
              <w:jc w:val="center"/>
              <w:rPr>
                <w:rFonts w:hint="eastAsia"/>
                <w:highlight w:val="none"/>
              </w:rPr>
            </w:pPr>
            <w:r>
              <w:rPr>
                <w:rFonts w:hint="eastAsia"/>
                <w:highlight w:val="none"/>
              </w:rPr>
              <w:t>…</w:t>
            </w: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highlight w:val="none"/>
              </w:rPr>
            </w:pPr>
          </w:p>
        </w:tc>
        <w:tc>
          <w:tcPr>
            <w:tcW w:w="4203" w:type="dxa"/>
            <w:gridSpan w:val="2"/>
            <w:vMerge w:val="continue"/>
            <w:vAlign w:val="center"/>
          </w:tcPr>
          <w:p>
            <w:pPr>
              <w:tabs>
                <w:tab w:val="clear" w:pos="426"/>
              </w:tabs>
              <w:adjustRightInd/>
              <w:snapToGrid/>
              <w:spacing w:line="240" w:lineRule="auto"/>
              <w:jc w:val="center"/>
              <w:rPr>
                <w:rFonts w:hint="eastAsia"/>
                <w:highlight w:val="none"/>
              </w:rPr>
            </w:pPr>
          </w:p>
        </w:tc>
        <w:tc>
          <w:tcPr>
            <w:tcW w:w="3105" w:type="dxa"/>
            <w:gridSpan w:val="3"/>
            <w:vAlign w:val="center"/>
          </w:tcPr>
          <w:p>
            <w:pPr>
              <w:tabs>
                <w:tab w:val="clear" w:pos="426"/>
              </w:tabs>
              <w:adjustRightInd/>
              <w:snapToGrid/>
              <w:spacing w:line="240" w:lineRule="auto"/>
              <w:jc w:val="center"/>
              <w:rPr>
                <w:rFonts w:hint="eastAsia"/>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highlight w:val="none"/>
              </w:rPr>
            </w:pPr>
          </w:p>
        </w:tc>
        <w:tc>
          <w:tcPr>
            <w:tcW w:w="4203" w:type="dxa"/>
            <w:gridSpan w:val="2"/>
            <w:vMerge w:val="continue"/>
            <w:vAlign w:val="center"/>
          </w:tcPr>
          <w:p>
            <w:pPr>
              <w:tabs>
                <w:tab w:val="clear" w:pos="426"/>
              </w:tabs>
              <w:adjustRightInd/>
              <w:snapToGrid/>
              <w:spacing w:line="240" w:lineRule="auto"/>
              <w:jc w:val="center"/>
              <w:rPr>
                <w:rFonts w:hint="eastAsia"/>
                <w:highlight w:val="none"/>
              </w:rPr>
            </w:pPr>
          </w:p>
        </w:tc>
        <w:tc>
          <w:tcPr>
            <w:tcW w:w="3105" w:type="dxa"/>
            <w:gridSpan w:val="3"/>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highlight w:val="none"/>
              </w:rPr>
            </w:pPr>
          </w:p>
        </w:tc>
        <w:tc>
          <w:tcPr>
            <w:tcW w:w="4203" w:type="dxa"/>
            <w:gridSpan w:val="2"/>
            <w:vMerge w:val="continue"/>
            <w:vAlign w:val="center"/>
          </w:tcPr>
          <w:p>
            <w:pPr>
              <w:tabs>
                <w:tab w:val="clear" w:pos="426"/>
              </w:tabs>
              <w:adjustRightInd/>
              <w:snapToGrid/>
              <w:spacing w:line="240" w:lineRule="auto"/>
              <w:jc w:val="center"/>
              <w:rPr>
                <w:rFonts w:hint="eastAsia"/>
                <w:highlight w:val="none"/>
              </w:rPr>
            </w:pPr>
          </w:p>
        </w:tc>
        <w:tc>
          <w:tcPr>
            <w:tcW w:w="3105" w:type="dxa"/>
            <w:gridSpan w:val="3"/>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rFonts w:hint="eastAsia"/>
                <w:b/>
                <w:highlight w:val="none"/>
              </w:rPr>
            </w:pPr>
          </w:p>
        </w:tc>
        <w:tc>
          <w:tcPr>
            <w:tcW w:w="4203" w:type="dxa"/>
            <w:gridSpan w:val="2"/>
            <w:vMerge w:val="continue"/>
            <w:vAlign w:val="center"/>
          </w:tcPr>
          <w:p>
            <w:pPr>
              <w:tabs>
                <w:tab w:val="clear" w:pos="426"/>
              </w:tabs>
              <w:adjustRightInd/>
              <w:snapToGrid/>
              <w:spacing w:line="240" w:lineRule="auto"/>
              <w:jc w:val="center"/>
              <w:rPr>
                <w:rFonts w:hint="eastAsia"/>
                <w:highlight w:val="none"/>
              </w:rPr>
            </w:pPr>
          </w:p>
        </w:tc>
        <w:tc>
          <w:tcPr>
            <w:tcW w:w="3105" w:type="dxa"/>
            <w:gridSpan w:val="3"/>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highlight w:val="none"/>
              </w:rPr>
            </w:pPr>
            <w:r>
              <w:rPr>
                <w:rFonts w:hint="eastAsia"/>
                <w:b/>
                <w:highlight w:val="none"/>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rFonts w:hint="eastAsia"/>
                <w:b/>
                <w:kern w:val="2"/>
                <w:highlight w:val="none"/>
              </w:rPr>
            </w:pPr>
            <w:r>
              <w:rPr>
                <w:rFonts w:hint="eastAsia"/>
                <w:b/>
                <w:highlight w:val="none"/>
              </w:rPr>
              <w:t>序号</w:t>
            </w:r>
          </w:p>
        </w:tc>
        <w:tc>
          <w:tcPr>
            <w:tcW w:w="5943" w:type="dxa"/>
            <w:gridSpan w:val="4"/>
            <w:vAlign w:val="center"/>
          </w:tcPr>
          <w:p>
            <w:pPr>
              <w:tabs>
                <w:tab w:val="clear" w:pos="426"/>
              </w:tabs>
              <w:adjustRightInd/>
              <w:snapToGrid/>
              <w:spacing w:line="240" w:lineRule="auto"/>
              <w:jc w:val="center"/>
              <w:rPr>
                <w:rFonts w:hint="eastAsia"/>
                <w:b/>
                <w:kern w:val="2"/>
                <w:highlight w:val="none"/>
              </w:rPr>
            </w:pPr>
            <w:r>
              <w:rPr>
                <w:rFonts w:hint="eastAsia"/>
                <w:b/>
                <w:highlight w:val="none"/>
              </w:rPr>
              <w:t>符合性审查项目</w:t>
            </w:r>
          </w:p>
        </w:tc>
        <w:tc>
          <w:tcPr>
            <w:tcW w:w="2762" w:type="dxa"/>
            <w:gridSpan w:val="2"/>
            <w:vAlign w:val="center"/>
          </w:tcPr>
          <w:p>
            <w:pPr>
              <w:tabs>
                <w:tab w:val="clear" w:pos="426"/>
              </w:tabs>
              <w:adjustRightInd/>
              <w:snapToGrid/>
              <w:spacing w:line="240" w:lineRule="auto"/>
              <w:jc w:val="center"/>
              <w:rPr>
                <w:rFonts w:hint="eastAsia"/>
                <w:b/>
                <w:kern w:val="2"/>
                <w:highlight w:val="none"/>
              </w:rPr>
            </w:pPr>
            <w:r>
              <w:rPr>
                <w:rFonts w:hint="eastAsia"/>
                <w:b/>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1</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未出现将一个包或一个标段的内容拆开投标；</w:t>
            </w:r>
          </w:p>
        </w:tc>
        <w:tc>
          <w:tcPr>
            <w:tcW w:w="2762" w:type="dxa"/>
            <w:gridSpan w:val="2"/>
            <w:vAlign w:val="center"/>
          </w:tcPr>
          <w:p>
            <w:pPr>
              <w:tabs>
                <w:tab w:val="clear" w:pos="426"/>
              </w:tabs>
              <w:adjustRightInd/>
              <w:snapToGrid/>
              <w:spacing w:line="240" w:lineRule="auto"/>
              <w:jc w:val="center"/>
              <w:rPr>
                <w:rFonts w:hint="eastAsia"/>
                <w:kern w:val="2"/>
                <w:highlight w:val="none"/>
              </w:rPr>
            </w:pPr>
            <w:r>
              <w:rPr>
                <w:rFonts w:hint="eastAsia"/>
                <w:highlight w:val="none"/>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2</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投标文件及开标一览表按规定密封、签字、盖章</w:t>
            </w:r>
          </w:p>
        </w:tc>
        <w:tc>
          <w:tcPr>
            <w:tcW w:w="2762" w:type="dxa"/>
            <w:gridSpan w:val="2"/>
            <w:vAlign w:val="center"/>
          </w:tcPr>
          <w:p>
            <w:pPr>
              <w:tabs>
                <w:tab w:val="clear" w:pos="426"/>
              </w:tabs>
              <w:adjustRightInd/>
              <w:snapToGrid/>
              <w:spacing w:line="240" w:lineRule="auto"/>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3</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4</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5</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按招标文件所提供的样式填写</w:t>
            </w:r>
            <w:r>
              <w:rPr>
                <w:highlight w:val="none"/>
              </w:rPr>
              <w:t>《</w:t>
            </w:r>
            <w:r>
              <w:rPr>
                <w:rFonts w:hint="eastAsia"/>
                <w:highlight w:val="none"/>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6</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投标总价或分项报价不高于财政预算限额</w:t>
            </w:r>
            <w:r>
              <w:rPr>
                <w:szCs w:val="21"/>
                <w:highlight w:val="none"/>
              </w:rPr>
              <w:t>（最高投标限价）</w:t>
            </w:r>
            <w:r>
              <w:rPr>
                <w:rFonts w:hint="eastAsia"/>
                <w:highlight w:val="none"/>
              </w:rPr>
              <w:t>；</w:t>
            </w:r>
          </w:p>
        </w:tc>
        <w:tc>
          <w:tcPr>
            <w:tcW w:w="2762" w:type="dxa"/>
            <w:gridSpan w:val="2"/>
            <w:vAlign w:val="center"/>
          </w:tcPr>
          <w:p>
            <w:pPr>
              <w:tabs>
                <w:tab w:val="clear" w:pos="426"/>
              </w:tabs>
              <w:adjustRightInd/>
              <w:snapToGrid/>
              <w:spacing w:line="240" w:lineRule="auto"/>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7</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不存在以下情形：</w:t>
            </w:r>
            <w:r>
              <w:rPr>
                <w:szCs w:val="21"/>
                <w:highlight w:val="none"/>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8</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9</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10</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11</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所投产品、工程、服务在商务、技术等方面实质性满足招标文件要求的；</w:t>
            </w:r>
          </w:p>
        </w:tc>
        <w:tc>
          <w:tcPr>
            <w:tcW w:w="2762" w:type="dxa"/>
            <w:gridSpan w:val="2"/>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kern w:val="2"/>
                <w:highlight w:val="none"/>
              </w:rPr>
            </w:pPr>
            <w:r>
              <w:rPr>
                <w:rFonts w:hint="eastAsia"/>
                <w:highlight w:val="none"/>
              </w:rPr>
              <w:t>12</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highlight w:val="none"/>
              </w:rPr>
            </w:pPr>
            <w:r>
              <w:rPr>
                <w:rFonts w:hint="eastAsia"/>
                <w:highlight w:val="none"/>
              </w:rPr>
              <w:t>1</w:t>
            </w:r>
            <w:r>
              <w:rPr>
                <w:highlight w:val="none"/>
              </w:rPr>
              <w:t>3</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highlight w:val="none"/>
              </w:rPr>
            </w:pPr>
            <w:r>
              <w:rPr>
                <w:rFonts w:hint="eastAsia"/>
                <w:highlight w:val="none"/>
              </w:rPr>
              <w:t>1</w:t>
            </w:r>
            <w:r>
              <w:rPr>
                <w:highlight w:val="none"/>
              </w:rPr>
              <w:t>4</w:t>
            </w:r>
          </w:p>
        </w:tc>
        <w:tc>
          <w:tcPr>
            <w:tcW w:w="5943" w:type="dxa"/>
            <w:gridSpan w:val="4"/>
            <w:vAlign w:val="center"/>
          </w:tcPr>
          <w:p>
            <w:pPr>
              <w:tabs>
                <w:tab w:val="clear" w:pos="426"/>
              </w:tabs>
              <w:adjustRightInd/>
              <w:snapToGrid/>
              <w:spacing w:line="240" w:lineRule="auto"/>
              <w:rPr>
                <w:rFonts w:hint="eastAsia"/>
                <w:highlight w:val="none"/>
              </w:rPr>
            </w:pPr>
            <w:r>
              <w:rPr>
                <w:rFonts w:hint="eastAsia"/>
                <w:highlight w:val="none"/>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rFonts w:hint="eastAsia"/>
                <w:highlight w:val="none"/>
              </w:rPr>
            </w:pPr>
            <w:r>
              <w:rPr>
                <w:rFonts w:hint="eastAsia"/>
                <w:highlight w:val="none"/>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highlight w:val="none"/>
              </w:rPr>
            </w:pPr>
            <w:r>
              <w:rPr>
                <w:rFonts w:hint="eastAsia"/>
                <w:highlight w:val="none"/>
              </w:rPr>
              <w:t>不属于法律、法规规定的投标无效的其他情形。</w:t>
            </w:r>
          </w:p>
        </w:tc>
        <w:tc>
          <w:tcPr>
            <w:tcW w:w="2762" w:type="dxa"/>
            <w:gridSpan w:val="2"/>
            <w:vAlign w:val="center"/>
          </w:tcPr>
          <w:p>
            <w:pPr>
              <w:tabs>
                <w:tab w:val="clear" w:pos="426"/>
              </w:tabs>
              <w:adjustRightInd/>
              <w:snapToGrid/>
              <w:spacing w:line="240" w:lineRule="auto"/>
              <w:jc w:val="cente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rFonts w:hint="eastAsia"/>
                <w:b/>
                <w:kern w:val="2"/>
                <w:highlight w:val="none"/>
              </w:rPr>
            </w:pPr>
            <w:r>
              <w:rPr>
                <w:rFonts w:hint="eastAsia"/>
                <w:b/>
                <w:highlight w:val="none"/>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rFonts w:hint="eastAsia"/>
                <w:b/>
                <w:kern w:val="2"/>
                <w:highlight w:val="none"/>
              </w:rPr>
            </w:pPr>
            <w:r>
              <w:rPr>
                <w:rFonts w:hint="eastAsia"/>
                <w:b/>
                <w:highlight w:val="none"/>
              </w:rPr>
              <w:t>评分类别</w:t>
            </w:r>
          </w:p>
        </w:tc>
        <w:tc>
          <w:tcPr>
            <w:tcW w:w="5499" w:type="dxa"/>
            <w:gridSpan w:val="2"/>
            <w:vAlign w:val="center"/>
          </w:tcPr>
          <w:p>
            <w:pPr>
              <w:tabs>
                <w:tab w:val="clear" w:pos="426"/>
              </w:tabs>
              <w:adjustRightInd/>
              <w:snapToGrid/>
              <w:spacing w:line="240" w:lineRule="auto"/>
              <w:jc w:val="center"/>
              <w:rPr>
                <w:rFonts w:hint="eastAsia"/>
                <w:b/>
                <w:kern w:val="2"/>
                <w:highlight w:val="none"/>
              </w:rPr>
            </w:pPr>
            <w:r>
              <w:rPr>
                <w:rFonts w:hint="eastAsia"/>
                <w:b/>
                <w:highlight w:val="none"/>
              </w:rPr>
              <w:t>评分项目</w:t>
            </w:r>
          </w:p>
        </w:tc>
        <w:tc>
          <w:tcPr>
            <w:tcW w:w="1463" w:type="dxa"/>
            <w:gridSpan w:val="2"/>
            <w:vAlign w:val="center"/>
          </w:tcPr>
          <w:p>
            <w:pPr>
              <w:tabs>
                <w:tab w:val="clear" w:pos="426"/>
              </w:tabs>
              <w:adjustRightInd/>
              <w:snapToGrid/>
              <w:spacing w:line="240" w:lineRule="auto"/>
              <w:jc w:val="center"/>
              <w:rPr>
                <w:rFonts w:hint="eastAsia"/>
                <w:b/>
                <w:kern w:val="2"/>
                <w:highlight w:val="none"/>
              </w:rPr>
            </w:pPr>
            <w:r>
              <w:rPr>
                <w:rFonts w:hint="eastAsia"/>
                <w:b/>
                <w:highlight w:val="none"/>
              </w:rPr>
              <w:t>对应章节</w:t>
            </w:r>
          </w:p>
        </w:tc>
        <w:tc>
          <w:tcPr>
            <w:tcW w:w="1397" w:type="dxa"/>
            <w:vAlign w:val="center"/>
          </w:tcPr>
          <w:p>
            <w:pPr>
              <w:tabs>
                <w:tab w:val="clear" w:pos="426"/>
              </w:tabs>
              <w:adjustRightInd/>
              <w:snapToGrid/>
              <w:spacing w:line="240" w:lineRule="auto"/>
              <w:jc w:val="center"/>
              <w:rPr>
                <w:rFonts w:hint="eastAsia"/>
                <w:b/>
                <w:kern w:val="2"/>
                <w:highlight w:val="none"/>
              </w:rPr>
            </w:pPr>
            <w:r>
              <w:rPr>
                <w:rFonts w:hint="eastAsia"/>
                <w:b/>
                <w:highlight w:val="none"/>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highlight w:val="none"/>
              </w:rPr>
            </w:pPr>
          </w:p>
        </w:tc>
        <w:tc>
          <w:tcPr>
            <w:tcW w:w="5499" w:type="dxa"/>
            <w:gridSpan w:val="2"/>
            <w:vAlign w:val="center"/>
          </w:tcPr>
          <w:p>
            <w:pPr>
              <w:tabs>
                <w:tab w:val="clear" w:pos="426"/>
              </w:tabs>
              <w:adjustRightInd/>
              <w:snapToGrid/>
              <w:spacing w:line="240" w:lineRule="auto"/>
              <w:jc w:val="center"/>
              <w:rPr>
                <w:rFonts w:hint="eastAsia"/>
                <w:highlight w:val="none"/>
              </w:rPr>
            </w:pPr>
          </w:p>
        </w:tc>
        <w:tc>
          <w:tcPr>
            <w:tcW w:w="1463" w:type="dxa"/>
            <w:gridSpan w:val="2"/>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highlight w:val="none"/>
              </w:rPr>
            </w:pPr>
          </w:p>
        </w:tc>
        <w:tc>
          <w:tcPr>
            <w:tcW w:w="5499" w:type="dxa"/>
            <w:gridSpan w:val="2"/>
            <w:vAlign w:val="center"/>
          </w:tcPr>
          <w:p>
            <w:pPr>
              <w:tabs>
                <w:tab w:val="clear" w:pos="426"/>
              </w:tabs>
              <w:adjustRightInd/>
              <w:snapToGrid/>
              <w:spacing w:line="240" w:lineRule="auto"/>
              <w:jc w:val="center"/>
              <w:rPr>
                <w:rFonts w:hint="eastAsia"/>
                <w:b/>
                <w:highlight w:val="none"/>
              </w:rPr>
            </w:pPr>
          </w:p>
        </w:tc>
        <w:tc>
          <w:tcPr>
            <w:tcW w:w="1463" w:type="dxa"/>
            <w:gridSpan w:val="2"/>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highlight w:val="none"/>
              </w:rPr>
            </w:pPr>
          </w:p>
        </w:tc>
        <w:tc>
          <w:tcPr>
            <w:tcW w:w="5499" w:type="dxa"/>
            <w:gridSpan w:val="2"/>
            <w:vAlign w:val="center"/>
          </w:tcPr>
          <w:p>
            <w:pPr>
              <w:tabs>
                <w:tab w:val="clear" w:pos="426"/>
              </w:tabs>
              <w:adjustRightInd/>
              <w:snapToGrid/>
              <w:spacing w:line="240" w:lineRule="auto"/>
              <w:jc w:val="center"/>
              <w:rPr>
                <w:rFonts w:hint="eastAsia"/>
                <w:b/>
                <w:highlight w:val="none"/>
              </w:rPr>
            </w:pPr>
          </w:p>
        </w:tc>
        <w:tc>
          <w:tcPr>
            <w:tcW w:w="1463" w:type="dxa"/>
            <w:gridSpan w:val="2"/>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highlight w:val="none"/>
              </w:rPr>
            </w:pPr>
          </w:p>
        </w:tc>
        <w:tc>
          <w:tcPr>
            <w:tcW w:w="5499" w:type="dxa"/>
            <w:gridSpan w:val="2"/>
            <w:vAlign w:val="center"/>
          </w:tcPr>
          <w:p>
            <w:pPr>
              <w:tabs>
                <w:tab w:val="clear" w:pos="426"/>
              </w:tabs>
              <w:adjustRightInd/>
              <w:snapToGrid/>
              <w:spacing w:line="240" w:lineRule="auto"/>
              <w:jc w:val="center"/>
              <w:rPr>
                <w:rFonts w:hint="eastAsia"/>
                <w:b/>
                <w:highlight w:val="none"/>
              </w:rPr>
            </w:pPr>
          </w:p>
        </w:tc>
        <w:tc>
          <w:tcPr>
            <w:tcW w:w="1463" w:type="dxa"/>
            <w:gridSpan w:val="2"/>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rFonts w:hint="eastAsia"/>
                <w:b/>
                <w:kern w:val="2"/>
                <w:highlight w:val="none"/>
              </w:rPr>
            </w:pPr>
          </w:p>
        </w:tc>
        <w:tc>
          <w:tcPr>
            <w:tcW w:w="5499" w:type="dxa"/>
            <w:gridSpan w:val="2"/>
            <w:vAlign w:val="center"/>
          </w:tcPr>
          <w:p>
            <w:pPr>
              <w:tabs>
                <w:tab w:val="clear" w:pos="426"/>
              </w:tabs>
              <w:adjustRightInd/>
              <w:snapToGrid/>
              <w:spacing w:line="240" w:lineRule="auto"/>
              <w:jc w:val="center"/>
              <w:rPr>
                <w:rFonts w:hint="eastAsia"/>
                <w:b/>
                <w:highlight w:val="none"/>
              </w:rPr>
            </w:pPr>
          </w:p>
        </w:tc>
        <w:tc>
          <w:tcPr>
            <w:tcW w:w="1463" w:type="dxa"/>
            <w:gridSpan w:val="2"/>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rFonts w:hint="eastAsia"/>
                <w:b/>
                <w:highlight w:val="none"/>
              </w:rPr>
            </w:pPr>
          </w:p>
        </w:tc>
        <w:tc>
          <w:tcPr>
            <w:tcW w:w="5499" w:type="dxa"/>
            <w:gridSpan w:val="2"/>
            <w:vAlign w:val="center"/>
          </w:tcPr>
          <w:p>
            <w:pPr>
              <w:tabs>
                <w:tab w:val="clear" w:pos="426"/>
              </w:tabs>
              <w:adjustRightInd/>
              <w:snapToGrid/>
              <w:spacing w:line="240" w:lineRule="auto"/>
              <w:jc w:val="center"/>
              <w:rPr>
                <w:rFonts w:hint="eastAsia"/>
                <w:b/>
                <w:highlight w:val="none"/>
              </w:rPr>
            </w:pPr>
          </w:p>
        </w:tc>
        <w:tc>
          <w:tcPr>
            <w:tcW w:w="1463" w:type="dxa"/>
            <w:gridSpan w:val="2"/>
            <w:vAlign w:val="center"/>
          </w:tcPr>
          <w:p>
            <w:pPr>
              <w:tabs>
                <w:tab w:val="clear" w:pos="426"/>
              </w:tabs>
              <w:adjustRightInd/>
              <w:snapToGrid/>
              <w:spacing w:line="240" w:lineRule="auto"/>
              <w:jc w:val="center"/>
              <w:rPr>
                <w:rFonts w:hint="eastAsia"/>
                <w:b/>
                <w:highlight w:val="none"/>
              </w:rPr>
            </w:pPr>
          </w:p>
        </w:tc>
        <w:tc>
          <w:tcPr>
            <w:tcW w:w="1397" w:type="dxa"/>
            <w:vAlign w:val="center"/>
          </w:tcPr>
          <w:p>
            <w:pPr>
              <w:tabs>
                <w:tab w:val="clear" w:pos="426"/>
              </w:tabs>
              <w:adjustRightInd/>
              <w:snapToGrid/>
              <w:spacing w:line="240" w:lineRule="auto"/>
              <w:jc w:val="center"/>
              <w:rPr>
                <w:rFonts w:hint="eastAsia"/>
                <w:b/>
                <w:highlight w:val="none"/>
              </w:rPr>
            </w:pPr>
          </w:p>
        </w:tc>
      </w:tr>
    </w:tbl>
    <w:p>
      <w:pPr>
        <w:tabs>
          <w:tab w:val="clear" w:pos="426"/>
        </w:tabs>
        <w:rPr>
          <w:rFonts w:hint="eastAsia"/>
          <w:szCs w:val="21"/>
          <w:highlight w:val="none"/>
        </w:rPr>
      </w:pPr>
      <w:r>
        <w:rPr>
          <w:rFonts w:hint="eastAsia"/>
          <w:szCs w:val="21"/>
          <w:highlight w:val="none"/>
        </w:rPr>
        <w:t>备注：对于“</w:t>
      </w:r>
      <w:r>
        <w:rPr>
          <w:rFonts w:hint="eastAsia"/>
          <w:b/>
          <w:highlight w:val="none"/>
        </w:rPr>
        <w:t>综合评分指引”</w:t>
      </w:r>
      <w:r>
        <w:rPr>
          <w:rFonts w:hint="eastAsia"/>
          <w:szCs w:val="21"/>
          <w:highlight w:val="none"/>
        </w:rPr>
        <w:t>请投标供应商按照</w:t>
      </w:r>
      <w:r>
        <w:rPr>
          <w:rFonts w:hint="eastAsia"/>
          <w:b/>
          <w:szCs w:val="21"/>
          <w:highlight w:val="none"/>
        </w:rPr>
        <w:t>评分细则表</w:t>
      </w:r>
      <w:r>
        <w:rPr>
          <w:rFonts w:hint="eastAsia"/>
          <w:szCs w:val="21"/>
          <w:highlight w:val="none"/>
        </w:rPr>
        <w:t>的评分要求，根据各评分项目以</w:t>
      </w:r>
      <w:r>
        <w:rPr>
          <w:rFonts w:hint="eastAsia"/>
          <w:b/>
          <w:szCs w:val="21"/>
          <w:highlight w:val="none"/>
        </w:rPr>
        <w:t>自上而下</w:t>
      </w:r>
      <w:r>
        <w:rPr>
          <w:rFonts w:hint="eastAsia"/>
          <w:szCs w:val="21"/>
          <w:highlight w:val="none"/>
        </w:rPr>
        <w:t>的顺序编制</w:t>
      </w:r>
      <w:r>
        <w:rPr>
          <w:rFonts w:hint="eastAsia"/>
          <w:highlight w:val="none"/>
        </w:rPr>
        <w:t>。因项目次序混乱而影响评标效率及评标结果者，投标供应商自负其责。</w:t>
      </w:r>
    </w:p>
    <w:p>
      <w:pPr>
        <w:adjustRightInd/>
        <w:snapToGrid/>
        <w:spacing w:before="280" w:after="290" w:line="377" w:lineRule="auto"/>
        <w:outlineLvl w:val="2"/>
        <w:rPr>
          <w:rFonts w:hint="eastAsia"/>
          <w:b/>
          <w:sz w:val="24"/>
          <w:highlight w:val="none"/>
        </w:rPr>
      </w:pPr>
      <w:bookmarkStart w:id="89" w:name="_Toc32283"/>
      <w:bookmarkStart w:id="90" w:name="_Toc150960251"/>
      <w:bookmarkStart w:id="91" w:name="_Toc151386161"/>
      <w:bookmarkStart w:id="92" w:name="_Toc43264525"/>
      <w:bookmarkStart w:id="93" w:name="_Toc50703730"/>
      <w:bookmarkStart w:id="94" w:name="_Toc43264518"/>
      <w:bookmarkStart w:id="95" w:name="_Toc50691037"/>
      <w:r>
        <w:rPr>
          <w:rFonts w:hint="eastAsia"/>
          <w:b/>
          <w:sz w:val="24"/>
          <w:highlight w:val="none"/>
        </w:rPr>
        <w:t>格式1：投标函</w:t>
      </w:r>
      <w:bookmarkEnd w:id="89"/>
      <w:bookmarkEnd w:id="90"/>
      <w:bookmarkEnd w:id="91"/>
    </w:p>
    <w:p>
      <w:pPr>
        <w:widowControl w:val="0"/>
        <w:shd w:val="clear" w:color="auto" w:fill="auto"/>
        <w:tabs>
          <w:tab w:val="clear" w:pos="426"/>
        </w:tabs>
        <w:adjustRightInd/>
        <w:snapToGrid/>
        <w:spacing w:line="300" w:lineRule="auto"/>
        <w:jc w:val="center"/>
        <w:rPr>
          <w:rFonts w:hint="eastAsia" w:cs="Times New Roman"/>
          <w:bCs/>
          <w:kern w:val="2"/>
          <w:sz w:val="32"/>
          <w:szCs w:val="32"/>
          <w:highlight w:val="none"/>
        </w:rPr>
      </w:pPr>
      <w:bookmarkStart w:id="96" w:name="_Toc201743120"/>
      <w:bookmarkStart w:id="97" w:name="_Toc201742865"/>
      <w:bookmarkStart w:id="98" w:name="_Toc201997950"/>
      <w:bookmarkStart w:id="99" w:name="_Toc201719122"/>
      <w:r>
        <w:rPr>
          <w:rFonts w:hint="eastAsia" w:cs="Times New Roman"/>
          <w:bCs/>
          <w:kern w:val="2"/>
          <w:sz w:val="32"/>
          <w:szCs w:val="32"/>
          <w:highlight w:val="none"/>
        </w:rPr>
        <w:t>投标函</w:t>
      </w:r>
      <w:bookmarkEnd w:id="96"/>
      <w:bookmarkEnd w:id="97"/>
      <w:bookmarkEnd w:id="98"/>
      <w:bookmarkEnd w:id="99"/>
    </w:p>
    <w:p>
      <w:pPr>
        <w:tabs>
          <w:tab w:val="clear" w:pos="426"/>
        </w:tabs>
        <w:spacing w:line="300" w:lineRule="auto"/>
        <w:rPr>
          <w:rFonts w:hint="eastAsia"/>
          <w:szCs w:val="21"/>
          <w:highlight w:val="none"/>
        </w:rPr>
      </w:pPr>
    </w:p>
    <w:p>
      <w:pPr>
        <w:tabs>
          <w:tab w:val="clear" w:pos="426"/>
        </w:tabs>
        <w:spacing w:line="300" w:lineRule="auto"/>
        <w:rPr>
          <w:rFonts w:hint="eastAsia"/>
          <w:szCs w:val="21"/>
          <w:highlight w:val="none"/>
        </w:rPr>
      </w:pPr>
      <w:r>
        <w:rPr>
          <w:rFonts w:hint="eastAsia"/>
          <w:szCs w:val="21"/>
          <w:highlight w:val="none"/>
        </w:rPr>
        <w:t>致：</w:t>
      </w:r>
      <w:r>
        <w:rPr>
          <w:rFonts w:hint="eastAsia"/>
          <w:szCs w:val="21"/>
          <w:highlight w:val="none"/>
          <w:u w:val="single"/>
        </w:rPr>
        <w:t>深圳市深水水务咨询有限公司</w:t>
      </w:r>
    </w:p>
    <w:p>
      <w:pPr>
        <w:spacing w:after="231" w:afterLines="50"/>
        <w:ind w:firstLine="420" w:firstLineChars="200"/>
        <w:rPr>
          <w:rFonts w:hint="eastAsia"/>
          <w:szCs w:val="21"/>
          <w:highlight w:val="none"/>
        </w:rPr>
      </w:pPr>
      <w:r>
        <w:rPr>
          <w:rFonts w:hint="eastAsia"/>
          <w:szCs w:val="21"/>
          <w:highlight w:val="none"/>
        </w:rPr>
        <w:t>1.根据已收到贵方的项目编号为</w:t>
      </w:r>
      <w:r>
        <w:rPr>
          <w:rFonts w:hint="eastAsia"/>
          <w:szCs w:val="21"/>
          <w:highlight w:val="none"/>
          <w:u w:val="single"/>
        </w:rPr>
        <w:t>___</w:t>
      </w:r>
      <w:r>
        <w:rPr>
          <w:szCs w:val="21"/>
          <w:highlight w:val="none"/>
          <w:u w:val="single"/>
        </w:rPr>
        <w:t>_</w:t>
      </w:r>
      <w:r>
        <w:rPr>
          <w:rFonts w:hint="eastAsia"/>
          <w:szCs w:val="21"/>
          <w:highlight w:val="none"/>
          <w:u w:val="single"/>
        </w:rPr>
        <w:t>_____</w:t>
      </w:r>
      <w:r>
        <w:rPr>
          <w:rFonts w:hint="eastAsia"/>
          <w:szCs w:val="21"/>
          <w:highlight w:val="none"/>
        </w:rPr>
        <w:t>的</w:t>
      </w:r>
      <w:r>
        <w:rPr>
          <w:rFonts w:hint="eastAsia"/>
          <w:szCs w:val="21"/>
          <w:highlight w:val="none"/>
          <w:u w:val="single"/>
        </w:rPr>
        <w:t>_______</w:t>
      </w:r>
      <w:r>
        <w:rPr>
          <w:szCs w:val="21"/>
          <w:highlight w:val="none"/>
          <w:u w:val="single"/>
        </w:rPr>
        <w:t>__</w:t>
      </w:r>
      <w:r>
        <w:rPr>
          <w:rFonts w:hint="eastAsia"/>
          <w:szCs w:val="21"/>
          <w:highlight w:val="none"/>
          <w:u w:val="single"/>
        </w:rPr>
        <w:t>________</w:t>
      </w:r>
      <w:r>
        <w:rPr>
          <w:rFonts w:hint="eastAsia"/>
          <w:szCs w:val="21"/>
          <w:highlight w:val="none"/>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highlight w:val="none"/>
        </w:rPr>
      </w:pPr>
      <w:r>
        <w:rPr>
          <w:rFonts w:hAnsi="Times New Roman"/>
          <w:szCs w:val="21"/>
          <w:highlight w:val="none"/>
        </w:rPr>
        <w:t>2.</w:t>
      </w:r>
      <w:r>
        <w:rPr>
          <w:rFonts w:hint="eastAsia" w:hAnsi="Times New Roman"/>
          <w:szCs w:val="21"/>
          <w:highlight w:val="none"/>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highlight w:val="none"/>
        </w:rPr>
      </w:pPr>
      <w:r>
        <w:rPr>
          <w:rFonts w:hAnsi="Times New Roman"/>
          <w:szCs w:val="21"/>
          <w:highlight w:val="none"/>
        </w:rPr>
        <w:t>3.</w:t>
      </w:r>
      <w:r>
        <w:rPr>
          <w:rFonts w:hint="eastAsia" w:hAnsi="Times New Roman"/>
          <w:szCs w:val="21"/>
          <w:highlight w:val="none"/>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highlight w:val="none"/>
        </w:rPr>
      </w:pPr>
      <w:r>
        <w:rPr>
          <w:rFonts w:hAnsi="Times New Roman"/>
          <w:szCs w:val="21"/>
          <w:highlight w:val="none"/>
        </w:rPr>
        <w:t>4.</w:t>
      </w:r>
      <w:r>
        <w:rPr>
          <w:rFonts w:hint="eastAsia" w:hAnsi="Times New Roman"/>
          <w:szCs w:val="21"/>
          <w:highlight w:val="none"/>
        </w:rPr>
        <w:t>除非另外达成协议并生效，贵方的中标通知书和本投标文件将构成约束我们双方的合同。</w:t>
      </w:r>
    </w:p>
    <w:p>
      <w:pPr>
        <w:spacing w:after="231" w:afterLines="50"/>
        <w:ind w:firstLine="420" w:firstLineChars="200"/>
        <w:rPr>
          <w:rFonts w:hAnsi="Times New Roman"/>
          <w:szCs w:val="21"/>
          <w:highlight w:val="none"/>
        </w:rPr>
      </w:pPr>
      <w:r>
        <w:rPr>
          <w:rFonts w:hAnsi="Times New Roman"/>
          <w:szCs w:val="21"/>
          <w:highlight w:val="none"/>
        </w:rPr>
        <w:t>5.</w:t>
      </w:r>
      <w:r>
        <w:rPr>
          <w:rFonts w:hint="eastAsia" w:hAnsi="Times New Roman"/>
          <w:szCs w:val="21"/>
          <w:highlight w:val="none"/>
        </w:rPr>
        <w:t>我方理解贵方将不受必须接受你们所收到的最低标价或其它任何投标文件的约束。</w:t>
      </w:r>
    </w:p>
    <w:p>
      <w:pPr>
        <w:tabs>
          <w:tab w:val="clear" w:pos="426"/>
        </w:tabs>
        <w:spacing w:line="300" w:lineRule="auto"/>
        <w:ind w:left="424" w:leftChars="202"/>
        <w:rPr>
          <w:rFonts w:hint="eastAsia"/>
          <w:szCs w:val="21"/>
          <w:highlight w:val="none"/>
        </w:rPr>
      </w:pPr>
    </w:p>
    <w:p>
      <w:pPr>
        <w:tabs>
          <w:tab w:val="clear" w:pos="426"/>
        </w:tabs>
        <w:spacing w:line="300" w:lineRule="auto"/>
        <w:ind w:left="424" w:leftChars="202"/>
        <w:rPr>
          <w:rFonts w:hint="eastAsia"/>
          <w:szCs w:val="21"/>
          <w:highlight w:val="none"/>
        </w:rPr>
      </w:pPr>
    </w:p>
    <w:p>
      <w:pPr>
        <w:tabs>
          <w:tab w:val="clear" w:pos="426"/>
        </w:tabs>
        <w:spacing w:line="300" w:lineRule="auto"/>
        <w:ind w:left="424" w:leftChars="202"/>
        <w:rPr>
          <w:rFonts w:hint="eastAsia"/>
          <w:szCs w:val="21"/>
          <w:highlight w:val="none"/>
        </w:rPr>
      </w:pPr>
    </w:p>
    <w:p>
      <w:pPr>
        <w:tabs>
          <w:tab w:val="clear" w:pos="426"/>
        </w:tabs>
        <w:spacing w:line="300" w:lineRule="auto"/>
        <w:ind w:left="424" w:leftChars="202"/>
        <w:rPr>
          <w:rFonts w:hint="eastAsia"/>
          <w:szCs w:val="21"/>
          <w:highlight w:val="none"/>
        </w:rPr>
      </w:pPr>
      <w:r>
        <w:rPr>
          <w:rFonts w:hint="eastAsia"/>
          <w:szCs w:val="21"/>
          <w:highlight w:val="none"/>
        </w:rPr>
        <w:t>地址：</w:t>
      </w:r>
      <w:r>
        <w:rPr>
          <w:rFonts w:hint="eastAsia"/>
          <w:szCs w:val="21"/>
          <w:highlight w:val="none"/>
          <w:u w:val="single"/>
        </w:rPr>
        <w:t>__________________________</w:t>
      </w:r>
      <w:r>
        <w:rPr>
          <w:rFonts w:hint="eastAsia"/>
          <w:szCs w:val="21"/>
          <w:highlight w:val="none"/>
        </w:rPr>
        <w:t xml:space="preserve">  电话：</w:t>
      </w:r>
      <w:r>
        <w:rPr>
          <w:rFonts w:hint="eastAsia"/>
          <w:szCs w:val="21"/>
          <w:highlight w:val="none"/>
          <w:u w:val="single"/>
        </w:rPr>
        <w:t>________________________</w:t>
      </w:r>
    </w:p>
    <w:p>
      <w:pPr>
        <w:tabs>
          <w:tab w:val="clear" w:pos="426"/>
        </w:tabs>
        <w:spacing w:line="300" w:lineRule="auto"/>
        <w:ind w:left="424" w:leftChars="202"/>
        <w:rPr>
          <w:rFonts w:hint="eastAsia"/>
          <w:szCs w:val="21"/>
          <w:highlight w:val="none"/>
          <w:u w:val="single"/>
        </w:rPr>
      </w:pPr>
      <w:r>
        <w:rPr>
          <w:rFonts w:hint="eastAsia"/>
          <w:szCs w:val="21"/>
          <w:highlight w:val="none"/>
        </w:rPr>
        <w:t>投标人名称（公章）：</w:t>
      </w:r>
      <w:r>
        <w:rPr>
          <w:rFonts w:hint="eastAsia"/>
          <w:szCs w:val="21"/>
          <w:highlight w:val="none"/>
          <w:u w:val="single"/>
        </w:rPr>
        <w:t>_____________________________________________</w:t>
      </w:r>
    </w:p>
    <w:p>
      <w:pPr>
        <w:tabs>
          <w:tab w:val="clear" w:pos="426"/>
        </w:tabs>
        <w:spacing w:line="300" w:lineRule="auto"/>
        <w:ind w:left="424" w:leftChars="202"/>
        <w:rPr>
          <w:rFonts w:hint="eastAsia"/>
          <w:szCs w:val="21"/>
          <w:highlight w:val="none"/>
          <w:u w:val="single"/>
        </w:rPr>
      </w:pPr>
      <w:r>
        <w:rPr>
          <w:rFonts w:hint="eastAsia"/>
          <w:szCs w:val="21"/>
          <w:highlight w:val="none"/>
        </w:rPr>
        <w:t xml:space="preserve">投标人代表（签字或盖章)： </w:t>
      </w:r>
      <w:r>
        <w:rPr>
          <w:rFonts w:hint="eastAsia"/>
          <w:szCs w:val="21"/>
          <w:highlight w:val="none"/>
          <w:u w:val="single"/>
        </w:rPr>
        <w:t>_____________________________________________</w:t>
      </w:r>
    </w:p>
    <w:p>
      <w:pPr>
        <w:tabs>
          <w:tab w:val="clear" w:pos="426"/>
        </w:tabs>
        <w:spacing w:line="300" w:lineRule="auto"/>
        <w:ind w:left="424" w:leftChars="202"/>
        <w:rPr>
          <w:rFonts w:hint="eastAsia"/>
          <w:szCs w:val="21"/>
          <w:highlight w:val="none"/>
          <w:u w:val="single"/>
        </w:rPr>
      </w:pPr>
      <w:r>
        <w:rPr>
          <w:rFonts w:hint="eastAsia"/>
          <w:szCs w:val="21"/>
          <w:highlight w:val="none"/>
        </w:rPr>
        <w:t>日期：</w:t>
      </w:r>
      <w:r>
        <w:rPr>
          <w:rFonts w:hint="eastAsia"/>
          <w:szCs w:val="21"/>
          <w:highlight w:val="none"/>
          <w:u w:val="single"/>
        </w:rPr>
        <w:t>___________________________________________________________</w:t>
      </w:r>
    </w:p>
    <w:p>
      <w:pPr>
        <w:tabs>
          <w:tab w:val="clear" w:pos="426"/>
        </w:tabs>
        <w:spacing w:line="300" w:lineRule="auto"/>
        <w:rPr>
          <w:rFonts w:hint="eastAsia"/>
          <w:highlight w:val="none"/>
        </w:rPr>
      </w:pPr>
    </w:p>
    <w:p>
      <w:pPr>
        <w:tabs>
          <w:tab w:val="clear" w:pos="426"/>
        </w:tabs>
        <w:rPr>
          <w:rFonts w:hint="eastAsia"/>
          <w:highlight w:val="none"/>
        </w:rPr>
      </w:pPr>
      <w:r>
        <w:rPr>
          <w:highlight w:val="none"/>
        </w:rPr>
        <w:br w:type="page"/>
      </w:r>
      <w:bookmarkStart w:id="100" w:name="_Toc151386163"/>
      <w:bookmarkStart w:id="101" w:name="_Toc150960253"/>
      <w:bookmarkStart w:id="102" w:name="_Toc52165081"/>
      <w:bookmarkStart w:id="103" w:name="_Toc275865607"/>
      <w:bookmarkStart w:id="104" w:name="_Toc480754205"/>
      <w:bookmarkStart w:id="105" w:name="_Toc50737329"/>
      <w:bookmarkStart w:id="106" w:name="_Toc50737297"/>
      <w:bookmarkStart w:id="107" w:name="_Toc50736477"/>
      <w:bookmarkStart w:id="108" w:name="_Toc50737328"/>
      <w:bookmarkStart w:id="109" w:name="_Toc50736476"/>
      <w:bookmarkStart w:id="110" w:name="_Toc50737296"/>
      <w:bookmarkStart w:id="111" w:name="_Toc52165080"/>
      <w:bookmarkStart w:id="112" w:name="_Toc50691034"/>
    </w:p>
    <w:p>
      <w:pPr>
        <w:adjustRightInd/>
        <w:snapToGrid/>
        <w:spacing w:before="280" w:after="290" w:line="377" w:lineRule="auto"/>
        <w:outlineLvl w:val="2"/>
        <w:rPr>
          <w:rFonts w:hint="eastAsia"/>
          <w:b/>
          <w:sz w:val="24"/>
          <w:highlight w:val="none"/>
        </w:rPr>
      </w:pPr>
      <w:bookmarkStart w:id="113" w:name="_Toc9501"/>
      <w:r>
        <w:rPr>
          <w:rFonts w:hint="eastAsia"/>
          <w:b/>
          <w:sz w:val="24"/>
          <w:highlight w:val="none"/>
        </w:rPr>
        <w:t>格式2：</w:t>
      </w:r>
      <w:bookmarkEnd w:id="100"/>
      <w:bookmarkEnd w:id="101"/>
      <w:r>
        <w:rPr>
          <w:rFonts w:hint="eastAsia"/>
          <w:b/>
          <w:sz w:val="24"/>
          <w:highlight w:val="none"/>
        </w:rPr>
        <w:t>法定代表人（单位负责人）证明书</w:t>
      </w:r>
      <w:bookmarkEnd w:id="113"/>
    </w:p>
    <w:bookmarkEnd w:id="102"/>
    <w:bookmarkEnd w:id="103"/>
    <w:bookmarkEnd w:id="104"/>
    <w:bookmarkEnd w:id="105"/>
    <w:bookmarkEnd w:id="106"/>
    <w:bookmarkEnd w:id="107"/>
    <w:p>
      <w:pPr>
        <w:widowControl w:val="0"/>
        <w:shd w:val="clear" w:color="auto" w:fill="auto"/>
        <w:tabs>
          <w:tab w:val="clear" w:pos="426"/>
        </w:tabs>
        <w:adjustRightInd/>
        <w:snapToGrid/>
        <w:spacing w:line="300" w:lineRule="auto"/>
        <w:jc w:val="center"/>
        <w:rPr>
          <w:rFonts w:hint="eastAsia" w:cs="Times New Roman"/>
          <w:bCs/>
          <w:kern w:val="2"/>
          <w:sz w:val="32"/>
          <w:szCs w:val="32"/>
          <w:highlight w:val="none"/>
        </w:rPr>
      </w:pPr>
      <w:r>
        <w:rPr>
          <w:rFonts w:hint="eastAsia" w:cs="Times New Roman"/>
          <w:bCs/>
          <w:kern w:val="2"/>
          <w:sz w:val="32"/>
          <w:szCs w:val="32"/>
          <w:highlight w:val="none"/>
        </w:rPr>
        <w:t>法定代表人（单位负责人）证明书</w:t>
      </w:r>
    </w:p>
    <w:p>
      <w:pPr>
        <w:tabs>
          <w:tab w:val="clear" w:pos="426"/>
        </w:tabs>
        <w:spacing w:line="480" w:lineRule="auto"/>
        <w:ind w:firstLine="424" w:firstLineChars="202"/>
        <w:rPr>
          <w:rFonts w:hint="eastAsia"/>
          <w:highlight w:val="none"/>
          <w:u w:val="single"/>
        </w:rPr>
      </w:pPr>
    </w:p>
    <w:p>
      <w:pPr>
        <w:tabs>
          <w:tab w:val="clear" w:pos="426"/>
        </w:tabs>
        <w:spacing w:line="480" w:lineRule="auto"/>
        <w:ind w:firstLine="424" w:firstLineChars="202"/>
        <w:rPr>
          <w:rFonts w:hint="eastAsia"/>
          <w:highlight w:val="none"/>
        </w:rPr>
      </w:pPr>
      <w:r>
        <w:rPr>
          <w:rFonts w:hint="eastAsia"/>
          <w:highlight w:val="none"/>
          <w:u w:val="single"/>
        </w:rPr>
        <w:t>__________</w:t>
      </w:r>
      <w:r>
        <w:rPr>
          <w:rFonts w:hint="eastAsia"/>
          <w:highlight w:val="none"/>
        </w:rPr>
        <w:t>同志，现任我单位</w:t>
      </w:r>
      <w:r>
        <w:rPr>
          <w:highlight w:val="none"/>
          <w:u w:val="single"/>
        </w:rPr>
        <w:t>_________</w:t>
      </w:r>
      <w:r>
        <w:rPr>
          <w:rFonts w:hint="eastAsia"/>
          <w:highlight w:val="none"/>
        </w:rPr>
        <w:t>职务，为法定代表人（单位负责人），特此证明。</w:t>
      </w:r>
    </w:p>
    <w:p>
      <w:pPr>
        <w:tabs>
          <w:tab w:val="clear" w:pos="426"/>
        </w:tabs>
        <w:spacing w:line="480" w:lineRule="auto"/>
        <w:ind w:firstLine="424" w:firstLineChars="202"/>
        <w:rPr>
          <w:rFonts w:hint="eastAsia"/>
          <w:highlight w:val="none"/>
        </w:rPr>
      </w:pPr>
      <w:r>
        <w:rPr>
          <w:rFonts w:hint="eastAsia"/>
          <w:highlight w:val="none"/>
        </w:rPr>
        <w:t>本证明书自签发之日起生效，有效期与本公司投标文件中标注的投标有效期相同。</w:t>
      </w:r>
    </w:p>
    <w:p>
      <w:pPr>
        <w:tabs>
          <w:tab w:val="clear" w:pos="426"/>
        </w:tabs>
        <w:spacing w:line="480" w:lineRule="auto"/>
        <w:ind w:firstLine="424" w:firstLineChars="202"/>
        <w:rPr>
          <w:rFonts w:hint="eastAsia"/>
          <w:highlight w:val="none"/>
        </w:rPr>
      </w:pPr>
      <w:r>
        <w:rPr>
          <w:rFonts w:hint="eastAsia"/>
          <w:highlight w:val="none"/>
        </w:rPr>
        <w:t>附：</w:t>
      </w:r>
    </w:p>
    <w:p>
      <w:pPr>
        <w:tabs>
          <w:tab w:val="clear" w:pos="426"/>
        </w:tabs>
        <w:spacing w:line="480" w:lineRule="auto"/>
        <w:ind w:firstLine="424" w:firstLineChars="202"/>
        <w:rPr>
          <w:rFonts w:hint="eastAsia"/>
          <w:highlight w:val="none"/>
        </w:rPr>
      </w:pPr>
      <w:r>
        <w:rPr>
          <w:rFonts w:hint="eastAsia"/>
          <w:highlight w:val="none"/>
        </w:rPr>
        <w:t>营业执照（注册号）：</w:t>
      </w:r>
      <w:r>
        <w:rPr>
          <w:rFonts w:hint="eastAsia"/>
          <w:highlight w:val="none"/>
          <w:u w:val="single"/>
        </w:rPr>
        <w:t>_______________________________________________</w:t>
      </w:r>
    </w:p>
    <w:p>
      <w:pPr>
        <w:tabs>
          <w:tab w:val="clear" w:pos="426"/>
        </w:tabs>
        <w:spacing w:line="480" w:lineRule="auto"/>
        <w:ind w:firstLine="424" w:firstLineChars="202"/>
        <w:rPr>
          <w:rFonts w:hint="eastAsia"/>
          <w:highlight w:val="none"/>
          <w:u w:val="single"/>
        </w:rPr>
      </w:pPr>
      <w:r>
        <w:rPr>
          <w:rFonts w:hint="eastAsia"/>
          <w:highlight w:val="none"/>
        </w:rPr>
        <w:t>经济性质：</w:t>
      </w:r>
      <w:r>
        <w:rPr>
          <w:rFonts w:hint="eastAsia"/>
          <w:highlight w:val="none"/>
          <w:u w:val="single"/>
        </w:rPr>
        <w:t>_________________________________________________________</w:t>
      </w:r>
    </w:p>
    <w:p>
      <w:pPr>
        <w:tabs>
          <w:tab w:val="clear" w:pos="426"/>
        </w:tabs>
        <w:spacing w:line="480" w:lineRule="auto"/>
        <w:ind w:firstLine="424" w:firstLineChars="202"/>
        <w:rPr>
          <w:rFonts w:hint="eastAsia"/>
          <w:highlight w:val="none"/>
          <w:u w:val="single"/>
        </w:rPr>
      </w:pPr>
      <w:r>
        <w:rPr>
          <w:rFonts w:hint="eastAsia"/>
          <w:highlight w:val="none"/>
        </w:rPr>
        <w:t>主营（产）：</w:t>
      </w:r>
      <w:r>
        <w:rPr>
          <w:rFonts w:hint="eastAsia"/>
          <w:highlight w:val="none"/>
          <w:u w:val="single"/>
        </w:rPr>
        <w:t>_______________________________________________________</w:t>
      </w:r>
    </w:p>
    <w:p>
      <w:pPr>
        <w:tabs>
          <w:tab w:val="clear" w:pos="426"/>
        </w:tabs>
        <w:spacing w:line="480" w:lineRule="auto"/>
        <w:ind w:firstLine="424" w:firstLineChars="202"/>
        <w:rPr>
          <w:rFonts w:hint="eastAsia"/>
          <w:highlight w:val="none"/>
          <w:u w:val="single"/>
        </w:rPr>
      </w:pPr>
      <w:r>
        <w:rPr>
          <w:rFonts w:hint="eastAsia"/>
          <w:highlight w:val="none"/>
        </w:rPr>
        <w:t>兼营（产）：</w:t>
      </w:r>
      <w:r>
        <w:rPr>
          <w:rFonts w:hint="eastAsia"/>
          <w:highlight w:val="none"/>
          <w:u w:val="single"/>
        </w:rPr>
        <w:t>_______________________________________________________</w:t>
      </w:r>
    </w:p>
    <w:p>
      <w:pPr>
        <w:tabs>
          <w:tab w:val="clear" w:pos="426"/>
        </w:tabs>
        <w:ind w:firstLine="424" w:firstLineChars="202"/>
        <w:rPr>
          <w:rFonts w:hint="eastAsia"/>
          <w:highlight w:val="none"/>
        </w:rPr>
      </w:pPr>
    </w:p>
    <w:p>
      <w:pPr>
        <w:tabs>
          <w:tab w:val="clear" w:pos="426"/>
        </w:tabs>
        <w:ind w:firstLine="424" w:firstLineChars="202"/>
        <w:rPr>
          <w:rFonts w:hint="eastAsia"/>
          <w:szCs w:val="21"/>
          <w:highlight w:val="none"/>
        </w:rPr>
      </w:pPr>
      <w:r>
        <w:rPr>
          <w:rFonts w:hint="eastAsia"/>
          <w:szCs w:val="21"/>
          <w:highlight w:val="none"/>
        </w:rPr>
        <w:t>附：法定代表人（单位负责人）身份证正反面复印件：</w:t>
      </w:r>
    </w:p>
    <w:p>
      <w:pPr>
        <w:tabs>
          <w:tab w:val="clear" w:pos="426"/>
        </w:tabs>
        <w:ind w:firstLine="424" w:firstLineChars="202"/>
        <w:rPr>
          <w:rFonts w:hint="eastAsia"/>
          <w:szCs w:val="21"/>
          <w:highlight w:val="none"/>
        </w:rPr>
      </w:pPr>
    </w:p>
    <w:p>
      <w:pPr>
        <w:tabs>
          <w:tab w:val="clear" w:pos="426"/>
        </w:tabs>
        <w:ind w:firstLine="424" w:firstLineChars="202"/>
        <w:rPr>
          <w:rFonts w:hint="eastAsia"/>
          <w:szCs w:val="21"/>
          <w:highlight w:val="none"/>
        </w:rPr>
      </w:pPr>
    </w:p>
    <w:p>
      <w:pPr>
        <w:tabs>
          <w:tab w:val="clear" w:pos="426"/>
        </w:tabs>
        <w:ind w:firstLine="424" w:firstLineChars="202"/>
        <w:rPr>
          <w:rFonts w:hint="eastAsia"/>
          <w:szCs w:val="21"/>
          <w:highlight w:val="none"/>
        </w:rPr>
      </w:pPr>
    </w:p>
    <w:p>
      <w:pPr>
        <w:tabs>
          <w:tab w:val="clear" w:pos="426"/>
        </w:tabs>
        <w:spacing w:line="500" w:lineRule="exact"/>
        <w:ind w:left="3826" w:leftChars="1822"/>
        <w:rPr>
          <w:rFonts w:hint="eastAsia"/>
          <w:highlight w:val="none"/>
          <w:u w:val="single"/>
        </w:rPr>
      </w:pPr>
      <w:r>
        <w:rPr>
          <w:rFonts w:hint="eastAsia"/>
          <w:highlight w:val="none"/>
        </w:rPr>
        <w:t>投标人名称（单位盖</w:t>
      </w:r>
      <w:r>
        <w:rPr>
          <w:rFonts w:hint="eastAsia"/>
          <w:spacing w:val="4"/>
          <w:highlight w:val="none"/>
        </w:rPr>
        <w:t>公章</w:t>
      </w:r>
      <w:r>
        <w:rPr>
          <w:rFonts w:hint="eastAsia"/>
          <w:highlight w:val="none"/>
        </w:rPr>
        <w:t>）：</w:t>
      </w:r>
      <w:r>
        <w:rPr>
          <w:rFonts w:hint="eastAsia"/>
          <w:highlight w:val="none"/>
          <w:u w:val="single"/>
        </w:rPr>
        <w:t>_____________________</w:t>
      </w:r>
    </w:p>
    <w:p>
      <w:pPr>
        <w:tabs>
          <w:tab w:val="clear" w:pos="426"/>
        </w:tabs>
        <w:spacing w:line="500" w:lineRule="exact"/>
        <w:ind w:left="3826" w:leftChars="1822"/>
        <w:rPr>
          <w:rFonts w:hint="eastAsia"/>
          <w:highlight w:val="none"/>
          <w:u w:val="single"/>
        </w:rPr>
      </w:pPr>
      <w:r>
        <w:rPr>
          <w:rFonts w:hint="eastAsia"/>
          <w:highlight w:val="none"/>
        </w:rPr>
        <w:t>地址：</w:t>
      </w:r>
      <w:r>
        <w:rPr>
          <w:rFonts w:hint="eastAsia"/>
          <w:highlight w:val="none"/>
          <w:u w:val="single"/>
        </w:rPr>
        <w:t>___________________________________________</w:t>
      </w:r>
    </w:p>
    <w:p>
      <w:pPr>
        <w:tabs>
          <w:tab w:val="clear" w:pos="426"/>
        </w:tabs>
        <w:spacing w:line="500" w:lineRule="exact"/>
        <w:ind w:left="3826" w:leftChars="1822"/>
        <w:rPr>
          <w:rFonts w:hint="eastAsia"/>
          <w:highlight w:val="none"/>
          <w:u w:val="single"/>
        </w:rPr>
      </w:pPr>
      <w:r>
        <w:rPr>
          <w:rFonts w:hint="eastAsia"/>
          <w:highlight w:val="none"/>
        </w:rPr>
        <w:t>签发日期：</w:t>
      </w:r>
      <w:r>
        <w:rPr>
          <w:rFonts w:hint="eastAsia"/>
          <w:highlight w:val="none"/>
          <w:u w:val="single"/>
        </w:rPr>
        <w:t>_______________________________________</w:t>
      </w:r>
    </w:p>
    <w:p>
      <w:pPr>
        <w:tabs>
          <w:tab w:val="clear" w:pos="426"/>
        </w:tabs>
        <w:spacing w:line="500" w:lineRule="exact"/>
        <w:ind w:left="3826" w:leftChars="1822"/>
        <w:rPr>
          <w:rFonts w:hint="eastAsia"/>
          <w:b/>
          <w:bCs/>
          <w:highlight w:val="none"/>
          <w:u w:val="single"/>
        </w:rPr>
      </w:pPr>
    </w:p>
    <w:bookmarkEnd w:id="108"/>
    <w:bookmarkEnd w:id="109"/>
    <w:bookmarkEnd w:id="110"/>
    <w:bookmarkEnd w:id="111"/>
    <w:bookmarkEnd w:id="112"/>
    <w:p>
      <w:pPr>
        <w:tabs>
          <w:tab w:val="clear" w:pos="426"/>
        </w:tabs>
        <w:spacing w:line="300" w:lineRule="auto"/>
        <w:jc w:val="center"/>
        <w:rPr>
          <w:rFonts w:hint="eastAsia"/>
          <w:highlight w:val="none"/>
        </w:rPr>
      </w:pPr>
      <w:r>
        <w:rPr>
          <w:highlight w:val="none"/>
        </w:rPr>
        <w:br w:type="page"/>
      </w:r>
    </w:p>
    <w:p>
      <w:pPr>
        <w:adjustRightInd/>
        <w:snapToGrid/>
        <w:spacing w:before="280" w:after="290" w:line="377" w:lineRule="auto"/>
        <w:outlineLvl w:val="2"/>
        <w:rPr>
          <w:rFonts w:hint="eastAsia"/>
          <w:b/>
          <w:sz w:val="24"/>
          <w:highlight w:val="none"/>
        </w:rPr>
      </w:pPr>
      <w:bookmarkStart w:id="114" w:name="_Toc16372"/>
      <w:r>
        <w:rPr>
          <w:rFonts w:hint="eastAsia"/>
          <w:b/>
          <w:sz w:val="24"/>
          <w:highlight w:val="none"/>
        </w:rPr>
        <w:t>格式3：授权委托书</w:t>
      </w:r>
      <w:bookmarkEnd w:id="114"/>
    </w:p>
    <w:p>
      <w:pPr>
        <w:widowControl w:val="0"/>
        <w:shd w:val="clear" w:color="auto" w:fill="auto"/>
        <w:tabs>
          <w:tab w:val="clear" w:pos="426"/>
        </w:tabs>
        <w:adjustRightInd/>
        <w:snapToGrid/>
        <w:spacing w:line="300" w:lineRule="auto"/>
        <w:jc w:val="center"/>
        <w:rPr>
          <w:rFonts w:hint="eastAsia" w:cs="Times New Roman"/>
          <w:bCs/>
          <w:kern w:val="2"/>
          <w:sz w:val="32"/>
          <w:szCs w:val="32"/>
          <w:highlight w:val="none"/>
        </w:rPr>
      </w:pPr>
      <w:r>
        <w:rPr>
          <w:rFonts w:hint="eastAsia" w:cs="Times New Roman"/>
          <w:bCs/>
          <w:kern w:val="2"/>
          <w:sz w:val="32"/>
          <w:szCs w:val="32"/>
          <w:highlight w:val="none"/>
        </w:rPr>
        <w:t>授权委托书</w:t>
      </w:r>
    </w:p>
    <w:p>
      <w:pPr>
        <w:tabs>
          <w:tab w:val="clear" w:pos="426"/>
        </w:tabs>
        <w:ind w:firstLine="420" w:firstLineChars="200"/>
        <w:rPr>
          <w:rFonts w:hAnsi="Courier New" w:cs="Times New Roman"/>
          <w:kern w:val="2"/>
          <w:szCs w:val="20"/>
          <w:highlight w:val="none"/>
        </w:rPr>
      </w:pPr>
    </w:p>
    <w:p>
      <w:pPr>
        <w:tabs>
          <w:tab w:val="clear" w:pos="426"/>
        </w:tabs>
        <w:ind w:firstLine="420" w:firstLineChars="200"/>
        <w:rPr>
          <w:rFonts w:hAnsi="Courier New" w:cs="Times New Roman"/>
          <w:kern w:val="2"/>
          <w:szCs w:val="20"/>
          <w:highlight w:val="none"/>
        </w:rPr>
      </w:pPr>
      <w:r>
        <w:rPr>
          <w:rFonts w:hint="eastAsia" w:hAnsi="Courier New" w:cs="Times New Roman"/>
          <w:kern w:val="2"/>
          <w:szCs w:val="20"/>
          <w:highlight w:val="none"/>
        </w:rPr>
        <w:t>本授权委托书声明：注册于</w:t>
      </w:r>
      <w:r>
        <w:rPr>
          <w:rFonts w:hint="eastAsia" w:hAnsi="Courier New" w:cs="Times New Roman"/>
          <w:kern w:val="2"/>
          <w:szCs w:val="20"/>
          <w:highlight w:val="none"/>
          <w:u w:val="single"/>
        </w:rPr>
        <w:t>（投标人地址）</w:t>
      </w:r>
      <w:r>
        <w:rPr>
          <w:rFonts w:hint="eastAsia" w:hAnsi="Courier New" w:cs="Times New Roman"/>
          <w:kern w:val="2"/>
          <w:szCs w:val="20"/>
          <w:highlight w:val="none"/>
        </w:rPr>
        <w:t>的</w:t>
      </w:r>
      <w:r>
        <w:rPr>
          <w:rFonts w:hint="eastAsia" w:hAnsi="Courier New" w:cs="Times New Roman"/>
          <w:kern w:val="2"/>
          <w:szCs w:val="20"/>
          <w:highlight w:val="none"/>
          <w:u w:val="single"/>
        </w:rPr>
        <w:t>（投标人名称）</w:t>
      </w:r>
      <w:r>
        <w:rPr>
          <w:rFonts w:hint="eastAsia" w:hAnsi="Courier New" w:cs="Times New Roman"/>
          <w:kern w:val="2"/>
          <w:szCs w:val="20"/>
          <w:highlight w:val="none"/>
        </w:rPr>
        <w:t>在下面签名的</w:t>
      </w:r>
      <w:r>
        <w:rPr>
          <w:rFonts w:hint="eastAsia" w:hAnsi="Courier New" w:cs="Times New Roman"/>
          <w:kern w:val="2"/>
          <w:szCs w:val="20"/>
          <w:highlight w:val="none"/>
          <w:u w:val="single"/>
        </w:rPr>
        <w:t>（法定代表人（单位负责人）姓名、职务）</w:t>
      </w:r>
      <w:r>
        <w:rPr>
          <w:rFonts w:hint="eastAsia" w:hAnsi="Courier New" w:cs="Times New Roman"/>
          <w:kern w:val="2"/>
          <w:szCs w:val="20"/>
          <w:highlight w:val="none"/>
        </w:rPr>
        <w:t>在此授权</w:t>
      </w:r>
      <w:r>
        <w:rPr>
          <w:rFonts w:hint="eastAsia" w:hAnsi="Courier New" w:cs="Times New Roman"/>
          <w:kern w:val="2"/>
          <w:szCs w:val="20"/>
          <w:highlight w:val="none"/>
          <w:u w:val="single"/>
        </w:rPr>
        <w:t>（被授权人姓名、职务）</w:t>
      </w:r>
      <w:r>
        <w:rPr>
          <w:rFonts w:hint="eastAsia" w:hAnsi="Courier New" w:cs="Times New Roman"/>
          <w:kern w:val="2"/>
          <w:szCs w:val="20"/>
          <w:highlight w:val="none"/>
        </w:rPr>
        <w:t>作为我公司的合法代理人，就</w:t>
      </w:r>
      <w:r>
        <w:rPr>
          <w:rFonts w:hint="eastAsia" w:hAnsi="Courier New" w:cs="Times New Roman"/>
          <w:kern w:val="2"/>
          <w:szCs w:val="20"/>
          <w:highlight w:val="none"/>
          <w:u w:val="single"/>
        </w:rPr>
        <w:t>（项目名称、项目编号</w:t>
      </w:r>
      <w:r>
        <w:rPr>
          <w:rFonts w:hint="eastAsia" w:hAnsi="Courier New" w:cs="Times New Roman"/>
          <w:kern w:val="2"/>
          <w:szCs w:val="20"/>
          <w:highlight w:val="none"/>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highlight w:val="none"/>
        </w:rPr>
      </w:pPr>
      <w:r>
        <w:rPr>
          <w:rFonts w:hint="eastAsia" w:hAnsi="Courier New" w:cs="Times New Roman"/>
          <w:kern w:val="2"/>
          <w:szCs w:val="20"/>
          <w:highlight w:val="none"/>
        </w:rPr>
        <w:t>被授权人（投标人授权代表）无转委托权限。</w:t>
      </w:r>
    </w:p>
    <w:p>
      <w:pPr>
        <w:tabs>
          <w:tab w:val="clear" w:pos="426"/>
        </w:tabs>
        <w:ind w:firstLine="420" w:firstLineChars="200"/>
        <w:rPr>
          <w:rFonts w:hint="eastAsia"/>
          <w:szCs w:val="21"/>
          <w:highlight w:val="none"/>
        </w:rPr>
      </w:pPr>
      <w:r>
        <w:rPr>
          <w:rFonts w:hint="eastAsia"/>
          <w:szCs w:val="21"/>
          <w:highlight w:val="none"/>
        </w:rPr>
        <w:t>本授权书自法定代表人（单位负责人）签字之日起生效，特此声明。</w:t>
      </w:r>
    </w:p>
    <w:p>
      <w:pPr>
        <w:tabs>
          <w:tab w:val="clear" w:pos="426"/>
        </w:tabs>
        <w:ind w:firstLine="422" w:firstLineChars="200"/>
        <w:rPr>
          <w:rFonts w:hint="eastAsia"/>
          <w:b/>
          <w:szCs w:val="21"/>
          <w:highlight w:val="none"/>
        </w:rPr>
      </w:pPr>
    </w:p>
    <w:p>
      <w:pPr>
        <w:tabs>
          <w:tab w:val="clear" w:pos="426"/>
        </w:tabs>
        <w:ind w:firstLine="422" w:firstLineChars="200"/>
        <w:rPr>
          <w:rFonts w:hint="eastAsia"/>
          <w:b/>
          <w:szCs w:val="21"/>
          <w:highlight w:val="none"/>
        </w:rPr>
      </w:pPr>
    </w:p>
    <w:p>
      <w:pPr>
        <w:tabs>
          <w:tab w:val="clear" w:pos="426"/>
        </w:tabs>
        <w:ind w:firstLine="422" w:firstLineChars="200"/>
        <w:rPr>
          <w:rFonts w:hint="eastAsia"/>
          <w:b/>
          <w:szCs w:val="21"/>
          <w:highlight w:val="none"/>
        </w:rPr>
      </w:pPr>
    </w:p>
    <w:p>
      <w:pPr>
        <w:tabs>
          <w:tab w:val="clear" w:pos="426"/>
        </w:tabs>
        <w:ind w:firstLine="424" w:firstLineChars="202"/>
        <w:rPr>
          <w:rFonts w:hint="eastAsia"/>
          <w:szCs w:val="21"/>
          <w:highlight w:val="none"/>
          <w:u w:val="single"/>
        </w:rPr>
      </w:pPr>
      <w:r>
        <w:rPr>
          <w:rFonts w:hint="eastAsia"/>
          <w:szCs w:val="21"/>
          <w:highlight w:val="none"/>
        </w:rPr>
        <w:t>投标人名称（单位盖</w:t>
      </w:r>
      <w:r>
        <w:rPr>
          <w:rFonts w:hint="eastAsia"/>
          <w:spacing w:val="4"/>
          <w:szCs w:val="21"/>
          <w:highlight w:val="none"/>
        </w:rPr>
        <w:t>公章</w:t>
      </w:r>
      <w:r>
        <w:rPr>
          <w:rFonts w:hint="eastAsia"/>
          <w:szCs w:val="21"/>
          <w:highlight w:val="none"/>
        </w:rPr>
        <w:t>）：</w:t>
      </w:r>
      <w:r>
        <w:rPr>
          <w:rFonts w:hint="eastAsia"/>
          <w:szCs w:val="21"/>
          <w:highlight w:val="none"/>
          <w:u w:val="single"/>
        </w:rPr>
        <w:t>_____________________________________________________</w:t>
      </w:r>
    </w:p>
    <w:p>
      <w:pPr>
        <w:tabs>
          <w:tab w:val="clear" w:pos="426"/>
        </w:tabs>
        <w:ind w:firstLine="424" w:firstLineChars="202"/>
        <w:rPr>
          <w:rFonts w:hint="eastAsia"/>
          <w:szCs w:val="21"/>
          <w:highlight w:val="none"/>
          <w:u w:val="single"/>
        </w:rPr>
      </w:pPr>
      <w:r>
        <w:rPr>
          <w:rFonts w:hint="eastAsia"/>
          <w:szCs w:val="21"/>
          <w:highlight w:val="none"/>
        </w:rPr>
        <w:t>地      址：</w:t>
      </w:r>
      <w:r>
        <w:rPr>
          <w:rFonts w:hint="eastAsia"/>
          <w:szCs w:val="21"/>
          <w:highlight w:val="none"/>
          <w:u w:val="single"/>
        </w:rPr>
        <w:t>___________________________________________________________________</w:t>
      </w:r>
    </w:p>
    <w:p>
      <w:pPr>
        <w:tabs>
          <w:tab w:val="clear" w:pos="426"/>
        </w:tabs>
        <w:ind w:firstLine="424" w:firstLineChars="202"/>
        <w:rPr>
          <w:rFonts w:hint="eastAsia"/>
          <w:szCs w:val="21"/>
          <w:highlight w:val="none"/>
        </w:rPr>
      </w:pPr>
      <w:r>
        <w:rPr>
          <w:rFonts w:hint="eastAsia"/>
          <w:szCs w:val="21"/>
          <w:highlight w:val="none"/>
        </w:rPr>
        <w:t>法定代表人（单位负责人）（签字或盖章）：</w:t>
      </w:r>
      <w:r>
        <w:rPr>
          <w:rFonts w:hint="eastAsia"/>
          <w:szCs w:val="21"/>
          <w:highlight w:val="none"/>
          <w:u w:val="single"/>
        </w:rPr>
        <w:t>______________________</w:t>
      </w:r>
      <w:r>
        <w:rPr>
          <w:rFonts w:hint="eastAsia"/>
          <w:szCs w:val="21"/>
          <w:highlight w:val="none"/>
        </w:rPr>
        <w:t xml:space="preserve"> </w:t>
      </w:r>
    </w:p>
    <w:p>
      <w:pPr>
        <w:tabs>
          <w:tab w:val="clear" w:pos="426"/>
        </w:tabs>
        <w:ind w:firstLine="424" w:firstLineChars="202"/>
        <w:rPr>
          <w:rFonts w:hint="eastAsia"/>
          <w:szCs w:val="21"/>
          <w:highlight w:val="none"/>
        </w:rPr>
      </w:pPr>
      <w:r>
        <w:rPr>
          <w:rFonts w:hint="eastAsia"/>
          <w:szCs w:val="21"/>
          <w:highlight w:val="none"/>
        </w:rPr>
        <w:t>签字日期：</w:t>
      </w:r>
      <w:r>
        <w:rPr>
          <w:rFonts w:hint="eastAsia"/>
          <w:szCs w:val="21"/>
          <w:highlight w:val="none"/>
          <w:u w:val="single"/>
        </w:rPr>
        <w:t>________</w:t>
      </w:r>
      <w:r>
        <w:rPr>
          <w:rFonts w:hint="eastAsia"/>
          <w:szCs w:val="21"/>
          <w:highlight w:val="none"/>
        </w:rPr>
        <w:t>年</w:t>
      </w:r>
      <w:r>
        <w:rPr>
          <w:rFonts w:hint="eastAsia"/>
          <w:szCs w:val="21"/>
          <w:highlight w:val="none"/>
          <w:u w:val="single"/>
        </w:rPr>
        <w:t>___</w:t>
      </w:r>
      <w:r>
        <w:rPr>
          <w:rFonts w:hint="eastAsia"/>
          <w:szCs w:val="21"/>
          <w:highlight w:val="none"/>
        </w:rPr>
        <w:t>月</w:t>
      </w:r>
      <w:r>
        <w:rPr>
          <w:rFonts w:hint="eastAsia"/>
          <w:szCs w:val="21"/>
          <w:highlight w:val="none"/>
          <w:u w:val="single"/>
        </w:rPr>
        <w:t>___</w:t>
      </w:r>
      <w:r>
        <w:rPr>
          <w:rFonts w:hint="eastAsia"/>
          <w:szCs w:val="21"/>
          <w:highlight w:val="none"/>
        </w:rPr>
        <w:t>日</w:t>
      </w:r>
    </w:p>
    <w:p>
      <w:pPr>
        <w:tabs>
          <w:tab w:val="clear" w:pos="426"/>
        </w:tabs>
        <w:ind w:firstLine="424" w:firstLineChars="202"/>
        <w:rPr>
          <w:rFonts w:hint="eastAsia"/>
          <w:szCs w:val="21"/>
          <w:highlight w:val="none"/>
        </w:rPr>
      </w:pPr>
      <w:r>
        <w:rPr>
          <w:rFonts w:hint="eastAsia"/>
          <w:szCs w:val="21"/>
          <w:highlight w:val="none"/>
        </w:rPr>
        <w:t>被授权人（投标人授权代表）（签字或盖章）：</w:t>
      </w:r>
      <w:r>
        <w:rPr>
          <w:rFonts w:hint="eastAsia"/>
          <w:szCs w:val="21"/>
          <w:highlight w:val="none"/>
          <w:u w:val="single"/>
        </w:rPr>
        <w:t>____________________________________</w:t>
      </w:r>
    </w:p>
    <w:p>
      <w:pPr>
        <w:tabs>
          <w:tab w:val="clear" w:pos="426"/>
        </w:tabs>
        <w:ind w:firstLine="424" w:firstLineChars="202"/>
        <w:rPr>
          <w:rFonts w:hint="eastAsia"/>
          <w:szCs w:val="21"/>
          <w:highlight w:val="none"/>
        </w:rPr>
      </w:pPr>
    </w:p>
    <w:p>
      <w:pPr>
        <w:tabs>
          <w:tab w:val="clear" w:pos="426"/>
        </w:tabs>
        <w:ind w:firstLine="424" w:firstLineChars="202"/>
        <w:rPr>
          <w:rFonts w:hint="eastAsia"/>
          <w:szCs w:val="21"/>
          <w:highlight w:val="none"/>
        </w:rPr>
      </w:pPr>
      <w:r>
        <w:rPr>
          <w:rFonts w:hint="eastAsia"/>
          <w:szCs w:val="21"/>
          <w:highlight w:val="none"/>
        </w:rPr>
        <w:t>附：被授权人身份证复印正反面件：</w:t>
      </w:r>
    </w:p>
    <w:p>
      <w:pPr>
        <w:tabs>
          <w:tab w:val="clear" w:pos="426"/>
        </w:tabs>
        <w:ind w:firstLine="424" w:firstLineChars="202"/>
        <w:rPr>
          <w:rFonts w:hint="eastAsia"/>
          <w:szCs w:val="21"/>
          <w:highlight w:val="none"/>
        </w:rPr>
      </w:pPr>
    </w:p>
    <w:p>
      <w:pPr>
        <w:rPr>
          <w:rFonts w:hint="eastAsia"/>
          <w:highlight w:val="none"/>
        </w:rPr>
      </w:pPr>
    </w:p>
    <w:p>
      <w:pPr>
        <w:adjustRightInd/>
        <w:snapToGrid/>
        <w:spacing w:before="280" w:after="290" w:line="377" w:lineRule="auto"/>
        <w:outlineLvl w:val="2"/>
        <w:rPr>
          <w:rFonts w:hint="eastAsia"/>
          <w:b/>
          <w:sz w:val="24"/>
          <w:highlight w:val="none"/>
        </w:rPr>
      </w:pPr>
      <w:r>
        <w:rPr>
          <w:highlight w:val="none"/>
        </w:rPr>
        <w:br w:type="page"/>
      </w:r>
      <w:bookmarkStart w:id="115" w:name="_Toc12237"/>
      <w:r>
        <w:rPr>
          <w:rFonts w:hint="eastAsia"/>
          <w:b/>
          <w:sz w:val="24"/>
          <w:highlight w:val="none"/>
        </w:rPr>
        <w:t>格式4：资格条款偏离表</w:t>
      </w:r>
      <w:bookmarkEnd w:id="115"/>
    </w:p>
    <w:p>
      <w:pPr>
        <w:widowControl w:val="0"/>
        <w:shd w:val="clear" w:color="auto" w:fill="auto"/>
        <w:tabs>
          <w:tab w:val="clear" w:pos="426"/>
        </w:tabs>
        <w:adjustRightInd/>
        <w:snapToGrid/>
        <w:spacing w:line="300" w:lineRule="auto"/>
        <w:jc w:val="center"/>
        <w:rPr>
          <w:rFonts w:hint="eastAsia" w:cs="Times New Roman"/>
          <w:bCs/>
          <w:kern w:val="2"/>
          <w:sz w:val="32"/>
          <w:szCs w:val="32"/>
          <w:highlight w:val="none"/>
        </w:rPr>
      </w:pPr>
      <w:r>
        <w:rPr>
          <w:rFonts w:hint="eastAsia" w:cs="Times New Roman"/>
          <w:bCs/>
          <w:kern w:val="2"/>
          <w:sz w:val="32"/>
          <w:szCs w:val="32"/>
          <w:highlight w:val="none"/>
        </w:rPr>
        <w:t>资格条款偏离表</w:t>
      </w:r>
    </w:p>
    <w:p>
      <w:pPr>
        <w:tabs>
          <w:tab w:val="clear" w:pos="426"/>
        </w:tabs>
        <w:rPr>
          <w:rFonts w:ascii="Times New Roman" w:hAnsi="Times New Roman" w:cs="Times New Roman"/>
          <w:highlight w:val="none"/>
        </w:rPr>
      </w:pPr>
    </w:p>
    <w:p>
      <w:pPr>
        <w:tabs>
          <w:tab w:val="clear" w:pos="426"/>
        </w:tabs>
        <w:rPr>
          <w:rFonts w:ascii="Times New Roman" w:hAnsi="Times New Roman" w:cs="Times New Roman"/>
          <w:highlight w:val="none"/>
        </w:rPr>
      </w:pPr>
      <w:r>
        <w:rPr>
          <w:rFonts w:ascii="Times New Roman" w:hAnsi="Times New Roman" w:cs="Times New Roman"/>
          <w:highlight w:val="none"/>
        </w:rPr>
        <w:t>项目名称：</w:t>
      </w:r>
      <w:r>
        <w:rPr>
          <w:rFonts w:ascii="Times New Roman" w:hAnsi="Times New Roman" w:cs="Times New Roman"/>
          <w:highlight w:val="none"/>
          <w:u w:val="single"/>
        </w:rPr>
        <w:t>_____________________________________</w:t>
      </w:r>
      <w:r>
        <w:rPr>
          <w:rFonts w:ascii="Times New Roman" w:hAnsi="Times New Roman" w:cs="Times New Roman"/>
          <w:highlight w:val="none"/>
        </w:rPr>
        <w:t>项目编号：</w:t>
      </w:r>
      <w:r>
        <w:rPr>
          <w:rFonts w:ascii="Times New Roman" w:hAnsi="Times New Roman" w:cs="Times New Roman"/>
          <w:sz w:val="18"/>
          <w:szCs w:val="18"/>
          <w:highlight w:val="none"/>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序号</w:t>
            </w:r>
          </w:p>
        </w:tc>
        <w:tc>
          <w:tcPr>
            <w:tcW w:w="1480" w:type="pct"/>
            <w:vAlign w:val="center"/>
          </w:tcPr>
          <w:p>
            <w:pPr>
              <w:tabs>
                <w:tab w:val="clear" w:pos="426"/>
              </w:tabs>
              <w:spacing w:line="240" w:lineRule="auto"/>
              <w:jc w:val="center"/>
              <w:rPr>
                <w:rFonts w:ascii="Times New Roman" w:hAnsi="Times New Roman" w:cs="Times New Roman"/>
                <w:bCs/>
                <w:highlight w:val="none"/>
              </w:rPr>
            </w:pPr>
            <w:r>
              <w:rPr>
                <w:rFonts w:hint="eastAsia" w:ascii="Times New Roman" w:hAnsi="Times New Roman" w:cs="Times New Roman"/>
                <w:bCs/>
                <w:highlight w:val="none"/>
              </w:rPr>
              <w:t>资格条款</w:t>
            </w:r>
          </w:p>
        </w:tc>
        <w:tc>
          <w:tcPr>
            <w:tcW w:w="1480"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响应</w:t>
            </w:r>
            <w:r>
              <w:rPr>
                <w:rFonts w:hint="eastAsia" w:ascii="Times New Roman" w:hAnsi="Times New Roman" w:cs="Times New Roman"/>
                <w:bCs/>
                <w:highlight w:val="none"/>
              </w:rPr>
              <w:t>情况</w:t>
            </w:r>
          </w:p>
        </w:tc>
        <w:tc>
          <w:tcPr>
            <w:tcW w:w="735"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偏离情况</w:t>
            </w:r>
          </w:p>
        </w:tc>
        <w:tc>
          <w:tcPr>
            <w:tcW w:w="912"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cs="Arial"/>
                <w:bCs/>
                <w:szCs w:val="21"/>
                <w:highlight w:val="none"/>
              </w:rPr>
              <w:t>1</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cs="Arial"/>
                <w:bCs/>
                <w:szCs w:val="21"/>
                <w:highlight w:val="none"/>
              </w:rPr>
              <w:t>2</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本项目不属于专门面向中小企业采购的项目。</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cs="Arial"/>
                <w:bCs/>
                <w:szCs w:val="21"/>
                <w:highlight w:val="none"/>
              </w:rPr>
              <w:t>3</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4</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5</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6</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7</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8</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9</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10</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11</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12</w:t>
            </w:r>
          </w:p>
        </w:tc>
        <w:tc>
          <w:tcPr>
            <w:tcW w:w="1480" w:type="pct"/>
            <w:vAlign w:val="center"/>
          </w:tcPr>
          <w:p>
            <w:pPr>
              <w:tabs>
                <w:tab w:val="clear" w:pos="426"/>
              </w:tabs>
              <w:spacing w:line="240" w:lineRule="auto"/>
              <w:rPr>
                <w:rFonts w:ascii="Times New Roman" w:hAnsi="Times New Roman" w:cs="Times New Roman"/>
                <w:bCs/>
                <w:highlight w:val="none"/>
              </w:rPr>
            </w:pPr>
            <w:r>
              <w:rPr>
                <w:rFonts w:hint="eastAsia" w:ascii="Times New Roman" w:hAnsi="Times New Roman" w:cs="Times New Roman"/>
                <w:bCs/>
                <w:highlight w:val="none"/>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highlight w:val="none"/>
              </w:rPr>
            </w:pPr>
          </w:p>
        </w:tc>
        <w:tc>
          <w:tcPr>
            <w:tcW w:w="735" w:type="pct"/>
            <w:vAlign w:val="center"/>
          </w:tcPr>
          <w:p>
            <w:pPr>
              <w:tabs>
                <w:tab w:val="clear" w:pos="426"/>
              </w:tabs>
              <w:spacing w:line="240" w:lineRule="auto"/>
              <w:jc w:val="center"/>
              <w:rPr>
                <w:rFonts w:ascii="Times New Roman" w:hAnsi="Times New Roman" w:cs="Times New Roman"/>
                <w:bCs/>
                <w:highlight w:val="none"/>
              </w:rPr>
            </w:pPr>
          </w:p>
        </w:tc>
        <w:tc>
          <w:tcPr>
            <w:tcW w:w="912" w:type="pct"/>
            <w:vAlign w:val="center"/>
          </w:tcPr>
          <w:p>
            <w:pPr>
              <w:tabs>
                <w:tab w:val="clear" w:pos="426"/>
              </w:tabs>
              <w:spacing w:line="240" w:lineRule="auto"/>
              <w:jc w:val="center"/>
              <w:rPr>
                <w:rFonts w:ascii="Times New Roman" w:hAnsi="Times New Roman" w:cs="Times New Roman"/>
                <w:bCs/>
                <w:highlight w:val="none"/>
              </w:rPr>
            </w:pPr>
          </w:p>
        </w:tc>
      </w:tr>
    </w:tbl>
    <w:p>
      <w:pPr>
        <w:tabs>
          <w:tab w:val="clear" w:pos="426"/>
        </w:tabs>
        <w:spacing w:line="240" w:lineRule="auto"/>
        <w:rPr>
          <w:rFonts w:ascii="Times New Roman" w:hAnsi="Times New Roman" w:cs="Times New Roman"/>
          <w:bCs/>
          <w:highlight w:val="none"/>
        </w:rPr>
      </w:pPr>
      <w:r>
        <w:rPr>
          <w:rFonts w:ascii="Times New Roman" w:hAnsi="Times New Roman" w:cs="Times New Roman"/>
          <w:bCs/>
          <w:highlight w:val="none"/>
        </w:rPr>
        <w:t>备注：</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1.“</w:t>
      </w:r>
      <w:r>
        <w:rPr>
          <w:rFonts w:hint="eastAsia" w:ascii="Times New Roman" w:hAnsi="Times New Roman" w:cs="Times New Roman"/>
          <w:bCs/>
          <w:highlight w:val="none"/>
        </w:rPr>
        <w:t>资格条款</w:t>
      </w:r>
      <w:r>
        <w:rPr>
          <w:rFonts w:ascii="Times New Roman" w:hAnsi="Times New Roman" w:cs="Times New Roman"/>
          <w:bCs/>
          <w:highlight w:val="none"/>
        </w:rPr>
        <w:t>”一栏应填写招标文件</w:t>
      </w:r>
      <w:r>
        <w:rPr>
          <w:rFonts w:hint="eastAsia" w:ascii="Times New Roman" w:hAnsi="Times New Roman" w:cs="Times New Roman"/>
          <w:bCs/>
          <w:highlight w:val="none"/>
        </w:rPr>
        <w:t xml:space="preserve">第一册 </w:t>
      </w:r>
      <w:r>
        <w:rPr>
          <w:rFonts w:ascii="Times New Roman" w:hAnsi="Times New Roman" w:cs="Times New Roman"/>
          <w:bCs/>
          <w:highlight w:val="none"/>
        </w:rPr>
        <w:t>第</w:t>
      </w:r>
      <w:r>
        <w:rPr>
          <w:rFonts w:hint="eastAsia" w:ascii="Times New Roman" w:hAnsi="Times New Roman" w:cs="Times New Roman"/>
          <w:bCs/>
          <w:highlight w:val="none"/>
        </w:rPr>
        <w:t>一</w:t>
      </w:r>
      <w:r>
        <w:rPr>
          <w:rFonts w:ascii="Times New Roman" w:hAnsi="Times New Roman" w:cs="Times New Roman"/>
          <w:bCs/>
          <w:highlight w:val="none"/>
        </w:rPr>
        <w:t>章“</w:t>
      </w:r>
      <w:r>
        <w:rPr>
          <w:rFonts w:hint="eastAsia" w:ascii="Times New Roman" w:hAnsi="Times New Roman" w:cs="Times New Roman"/>
          <w:bCs/>
          <w:highlight w:val="none"/>
        </w:rPr>
        <w:t>二、申请人的资格要求</w:t>
      </w:r>
      <w:r>
        <w:rPr>
          <w:rFonts w:ascii="Times New Roman" w:hAnsi="Times New Roman" w:cs="Times New Roman"/>
          <w:bCs/>
          <w:highlight w:val="none"/>
        </w:rPr>
        <w:t>”的内容；</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2.“</w:t>
      </w:r>
      <w:r>
        <w:rPr>
          <w:rFonts w:hint="eastAsia" w:ascii="Times New Roman" w:hAnsi="Times New Roman" w:cs="Times New Roman"/>
          <w:bCs/>
          <w:highlight w:val="none"/>
        </w:rPr>
        <w:t>响应情况</w:t>
      </w:r>
      <w:r>
        <w:rPr>
          <w:rFonts w:ascii="Times New Roman" w:hAnsi="Times New Roman" w:cs="Times New Roman"/>
          <w:bCs/>
          <w:highlight w:val="none"/>
        </w:rPr>
        <w:t>”一栏必须</w:t>
      </w:r>
      <w:r>
        <w:rPr>
          <w:rFonts w:hint="eastAsia" w:ascii="Times New Roman" w:hAnsi="Times New Roman" w:cs="Times New Roman"/>
          <w:bCs/>
          <w:highlight w:val="none"/>
        </w:rPr>
        <w:t>如实填写投标人自身情况</w:t>
      </w:r>
      <w:r>
        <w:rPr>
          <w:rFonts w:ascii="Times New Roman" w:hAnsi="Times New Roman" w:cs="Times New Roman"/>
          <w:bCs/>
          <w:highlight w:val="none"/>
        </w:rPr>
        <w:t>，并应对照</w:t>
      </w:r>
      <w:r>
        <w:rPr>
          <w:rFonts w:hint="eastAsia" w:ascii="Times New Roman" w:hAnsi="Times New Roman" w:cs="Times New Roman"/>
          <w:bCs/>
          <w:highlight w:val="none"/>
        </w:rPr>
        <w:t>资格条款</w:t>
      </w:r>
      <w:r>
        <w:rPr>
          <w:rFonts w:ascii="Times New Roman" w:hAnsi="Times New Roman" w:cs="Times New Roman"/>
          <w:bCs/>
          <w:highlight w:val="none"/>
        </w:rPr>
        <w:t>一一对应响应；</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3</w:t>
      </w:r>
      <w:r>
        <w:rPr>
          <w:rFonts w:hint="eastAsia" w:ascii="Times New Roman" w:hAnsi="Times New Roman" w:cs="Times New Roman"/>
          <w:bCs/>
          <w:highlight w:val="none"/>
        </w:rPr>
        <w:t>.</w:t>
      </w:r>
      <w:r>
        <w:rPr>
          <w:rFonts w:ascii="Times New Roman" w:hAnsi="Times New Roman" w:cs="Times New Roman"/>
          <w:bCs/>
          <w:highlight w:val="none"/>
        </w:rPr>
        <w:t>“偏离情况”一栏应如实填写“正偏离”、“负偏离”或“无偏离”</w:t>
      </w:r>
      <w:r>
        <w:rPr>
          <w:rFonts w:hint="eastAsia" w:ascii="Times New Roman" w:hAnsi="Times New Roman" w:cs="Times New Roman"/>
          <w:bCs/>
          <w:highlight w:val="none"/>
        </w:rPr>
        <w:t>，</w:t>
      </w:r>
      <w:r>
        <w:rPr>
          <w:rFonts w:ascii="Times New Roman" w:hAnsi="Times New Roman" w:cs="Times New Roman"/>
          <w:bCs/>
          <w:highlight w:val="none"/>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4.</w:t>
      </w:r>
      <w:r>
        <w:rPr>
          <w:rFonts w:hint="eastAsia" w:ascii="Times New Roman" w:hAnsi="Times New Roman" w:cs="Times New Roman"/>
          <w:bCs/>
          <w:highlight w:val="none"/>
        </w:rPr>
        <w:t>“说明”</w:t>
      </w:r>
      <w:r>
        <w:rPr>
          <w:rFonts w:ascii="Times New Roman" w:hAnsi="Times New Roman" w:cs="Times New Roman"/>
          <w:bCs/>
          <w:highlight w:val="none"/>
        </w:rPr>
        <w:t>一栏</w:t>
      </w:r>
      <w:r>
        <w:rPr>
          <w:rFonts w:hint="eastAsia" w:ascii="Times New Roman" w:hAnsi="Times New Roman" w:cs="Times New Roman"/>
          <w:bCs/>
          <w:highlight w:val="none"/>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highlight w:val="none"/>
        </w:rPr>
      </w:pPr>
      <w:r>
        <w:rPr>
          <w:rFonts w:hint="eastAsia" w:ascii="Times New Roman" w:hAnsi="Times New Roman" w:cs="Times New Roman"/>
          <w:bCs/>
          <w:highlight w:val="none"/>
        </w:rPr>
        <w:t>5.投标人所填写的“偏离情况”与评审委员会判定不一致时，以评审委员会意见为主。</w:t>
      </w:r>
    </w:p>
    <w:p>
      <w:pPr>
        <w:rPr>
          <w:rFonts w:hint="eastAsia"/>
          <w:highlight w:val="none"/>
        </w:rPr>
      </w:pPr>
    </w:p>
    <w:p>
      <w:pPr>
        <w:rPr>
          <w:rFonts w:hint="eastAsia"/>
          <w:highlight w:val="none"/>
        </w:rPr>
      </w:pPr>
      <w:r>
        <w:rPr>
          <w:rFonts w:hint="eastAsia"/>
          <w:highlight w:val="none"/>
        </w:rPr>
        <w:br w:type="page"/>
      </w:r>
    </w:p>
    <w:p>
      <w:pPr>
        <w:adjustRightInd/>
        <w:snapToGrid/>
        <w:spacing w:before="280" w:after="290" w:line="377" w:lineRule="auto"/>
        <w:outlineLvl w:val="2"/>
        <w:rPr>
          <w:rFonts w:hint="eastAsia"/>
          <w:b/>
          <w:sz w:val="24"/>
          <w:highlight w:val="none"/>
        </w:rPr>
      </w:pPr>
      <w:bookmarkStart w:id="116" w:name="_Toc3927"/>
      <w:r>
        <w:rPr>
          <w:rFonts w:hint="eastAsia"/>
          <w:b/>
          <w:sz w:val="24"/>
          <w:highlight w:val="none"/>
        </w:rPr>
        <w:t>格式5：法人或者其他组织的营业执照等证明文件</w:t>
      </w:r>
      <w:bookmarkEnd w:id="116"/>
    </w:p>
    <w:p>
      <w:pPr>
        <w:tabs>
          <w:tab w:val="clear" w:pos="426"/>
        </w:tabs>
        <w:spacing w:before="231" w:beforeLines="50"/>
        <w:ind w:firstLine="424" w:firstLineChars="201"/>
        <w:rPr>
          <w:rFonts w:hint="eastAsia"/>
          <w:b/>
          <w:highlight w:val="none"/>
        </w:rPr>
      </w:pPr>
      <w:r>
        <w:rPr>
          <w:rFonts w:hint="eastAsia"/>
          <w:b/>
          <w:highlight w:val="none"/>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rFonts w:hint="eastAsia"/>
          <w:b/>
          <w:sz w:val="24"/>
          <w:highlight w:val="none"/>
        </w:rPr>
      </w:pPr>
      <w:bookmarkStart w:id="117" w:name="_Toc151386165"/>
      <w:bookmarkStart w:id="118" w:name="_Toc150960255"/>
      <w:r>
        <w:rPr>
          <w:rFonts w:hint="eastAsia"/>
          <w:b/>
          <w:sz w:val="24"/>
          <w:highlight w:val="none"/>
        </w:rPr>
        <w:br w:type="page"/>
      </w:r>
    </w:p>
    <w:p>
      <w:pPr>
        <w:adjustRightInd/>
        <w:snapToGrid/>
        <w:spacing w:before="280" w:after="290" w:line="377" w:lineRule="auto"/>
        <w:outlineLvl w:val="2"/>
        <w:rPr>
          <w:rFonts w:hint="eastAsia"/>
          <w:b/>
          <w:sz w:val="24"/>
          <w:highlight w:val="none"/>
        </w:rPr>
      </w:pPr>
      <w:bookmarkStart w:id="119" w:name="_Toc21226"/>
      <w:r>
        <w:rPr>
          <w:rFonts w:hint="eastAsia"/>
          <w:b/>
          <w:sz w:val="24"/>
          <w:highlight w:val="none"/>
        </w:rPr>
        <w:t>格式6：投标人资格声明函</w:t>
      </w:r>
      <w:bookmarkEnd w:id="119"/>
    </w:p>
    <w:p>
      <w:pPr>
        <w:widowControl w:val="0"/>
        <w:shd w:val="clear" w:color="auto" w:fill="auto"/>
        <w:tabs>
          <w:tab w:val="clear" w:pos="426"/>
        </w:tabs>
        <w:adjustRightInd/>
        <w:snapToGrid/>
        <w:spacing w:line="300" w:lineRule="auto"/>
        <w:jc w:val="center"/>
        <w:rPr>
          <w:rFonts w:hint="eastAsia" w:cs="Times New Roman"/>
          <w:bCs/>
          <w:kern w:val="2"/>
          <w:sz w:val="32"/>
          <w:szCs w:val="32"/>
          <w:highlight w:val="none"/>
        </w:rPr>
      </w:pPr>
      <w:r>
        <w:rPr>
          <w:rFonts w:hint="eastAsia" w:cs="Times New Roman"/>
          <w:bCs/>
          <w:kern w:val="2"/>
          <w:sz w:val="32"/>
          <w:szCs w:val="32"/>
          <w:highlight w:val="none"/>
        </w:rPr>
        <w:t>投标人资格声明函</w:t>
      </w:r>
    </w:p>
    <w:p>
      <w:pPr>
        <w:tabs>
          <w:tab w:val="clear" w:pos="426"/>
        </w:tabs>
        <w:rPr>
          <w:rFonts w:hint="eastAsia"/>
          <w:highlight w:val="none"/>
        </w:rPr>
      </w:pPr>
    </w:p>
    <w:p>
      <w:pPr>
        <w:tabs>
          <w:tab w:val="clear" w:pos="426"/>
        </w:tabs>
        <w:rPr>
          <w:rFonts w:hint="eastAsia"/>
          <w:highlight w:val="none"/>
        </w:rPr>
      </w:pPr>
      <w:r>
        <w:rPr>
          <w:rFonts w:hint="eastAsia"/>
          <w:highlight w:val="none"/>
        </w:rPr>
        <w:t>深圳市深水水务咨询有限公司：</w:t>
      </w:r>
    </w:p>
    <w:p>
      <w:pPr>
        <w:ind w:firstLine="424" w:firstLineChars="202"/>
        <w:rPr>
          <w:rFonts w:hAnsi="Times New Roman"/>
          <w:highlight w:val="none"/>
        </w:rPr>
      </w:pPr>
      <w:r>
        <w:rPr>
          <w:rFonts w:hint="eastAsia" w:hAnsi="Times New Roman"/>
          <w:highlight w:val="none"/>
        </w:rPr>
        <w:t>关于贵公司发布</w:t>
      </w:r>
      <w:r>
        <w:rPr>
          <w:rFonts w:hint="eastAsia" w:hAnsi="Times New Roman"/>
          <w:szCs w:val="21"/>
          <w:highlight w:val="none"/>
          <w:u w:val="single"/>
        </w:rPr>
        <w:t>（项目名称</w:t>
      </w:r>
      <w:r>
        <w:rPr>
          <w:rFonts w:hAnsi="Times New Roman"/>
          <w:szCs w:val="21"/>
          <w:highlight w:val="none"/>
          <w:u w:val="single"/>
        </w:rPr>
        <w:t>)</w:t>
      </w:r>
      <w:r>
        <w:rPr>
          <w:rFonts w:hint="eastAsia" w:hAnsi="Times New Roman"/>
          <w:highlight w:val="none"/>
        </w:rPr>
        <w:t>项目（项目编号：</w:t>
      </w:r>
      <w:r>
        <w:rPr>
          <w:rFonts w:hint="eastAsia" w:hAnsi="Times New Roman"/>
          <w:highlight w:val="none"/>
          <w:u w:val="single"/>
        </w:rPr>
        <w:t>（项目编号）</w:t>
      </w:r>
      <w:r>
        <w:rPr>
          <w:rFonts w:hint="eastAsia" w:hAnsi="Times New Roman"/>
          <w:highlight w:val="none"/>
        </w:rPr>
        <w:t>）的招标公告，本公司（企业）愿意参加投标，并声明：</w:t>
      </w:r>
    </w:p>
    <w:p>
      <w:pPr>
        <w:ind w:firstLine="424" w:firstLineChars="202"/>
        <w:rPr>
          <w:rFonts w:hAnsi="Times New Roman"/>
          <w:highlight w:val="none"/>
        </w:rPr>
      </w:pPr>
      <w:r>
        <w:rPr>
          <w:rFonts w:hint="eastAsia" w:hAnsi="Times New Roman"/>
          <w:highlight w:val="none"/>
        </w:rPr>
        <w:t>我单位承诺：</w:t>
      </w:r>
    </w:p>
    <w:p>
      <w:pPr>
        <w:ind w:firstLine="424" w:firstLineChars="202"/>
        <w:rPr>
          <w:rFonts w:hAnsi="Times New Roman"/>
          <w:highlight w:val="none"/>
        </w:rPr>
      </w:pPr>
      <w:r>
        <w:rPr>
          <w:rFonts w:hint="eastAsia" w:hAnsi="Times New Roman"/>
          <w:highlight w:val="none"/>
        </w:rPr>
        <w:t>1.我单位参与本项目所投标（响应）的货物、工程或服务，不存在侵犯知识产权的情况；已知悉并同意中标（成交）结果信息公示（公开）的内容。</w:t>
      </w:r>
    </w:p>
    <w:p>
      <w:pPr>
        <w:ind w:firstLine="424" w:firstLineChars="202"/>
        <w:rPr>
          <w:rFonts w:hAnsi="Times New Roman"/>
          <w:highlight w:val="none"/>
        </w:rPr>
      </w:pPr>
      <w:r>
        <w:rPr>
          <w:rFonts w:hint="eastAsia" w:hAnsi="Times New Roman"/>
          <w:highlight w:val="none"/>
        </w:rPr>
        <w:t>2.我单位参与该项目投标，符合招标文件关于联合体及进口产品的相关资格要求。</w:t>
      </w:r>
    </w:p>
    <w:p>
      <w:pPr>
        <w:ind w:firstLine="424" w:firstLineChars="202"/>
        <w:rPr>
          <w:rFonts w:hAnsi="Times New Roman"/>
          <w:highlight w:val="none"/>
        </w:rPr>
      </w:pPr>
      <w:r>
        <w:rPr>
          <w:rFonts w:hint="eastAsia" w:hAnsi="Times New Roman"/>
          <w:highlight w:val="none"/>
        </w:rPr>
        <w:t>3.我单位参与本项目政府采购活动时不存在被有关部门禁止参与政府采购活动且在有效期内的情况。</w:t>
      </w:r>
    </w:p>
    <w:p>
      <w:pPr>
        <w:ind w:firstLine="424" w:firstLineChars="202"/>
        <w:rPr>
          <w:rFonts w:hAnsi="Times New Roman"/>
          <w:highlight w:val="none"/>
        </w:rPr>
      </w:pPr>
      <w:r>
        <w:rPr>
          <w:rFonts w:hint="eastAsia" w:hAnsi="Times New Roman"/>
          <w:highlight w:val="none"/>
        </w:rPr>
        <w:t>4</w:t>
      </w:r>
      <w:r>
        <w:rPr>
          <w:rFonts w:hAnsi="Times New Roman"/>
          <w:highlight w:val="none"/>
        </w:rPr>
        <w:t>.</w:t>
      </w:r>
      <w:r>
        <w:rPr>
          <w:rFonts w:hint="eastAsia" w:hAnsi="Times New Roman"/>
          <w:highlight w:val="none"/>
        </w:rPr>
        <w:t>我单位参与本项目投标前三年内，在经营活动中没有重大违法记录。</w:t>
      </w:r>
    </w:p>
    <w:p>
      <w:pPr>
        <w:ind w:firstLine="424" w:firstLineChars="202"/>
        <w:rPr>
          <w:rFonts w:hAnsi="Times New Roman"/>
          <w:highlight w:val="none"/>
        </w:rPr>
      </w:pPr>
      <w:r>
        <w:rPr>
          <w:rFonts w:hAnsi="Times New Roman"/>
          <w:highlight w:val="none"/>
        </w:rPr>
        <w:t>5</w:t>
      </w:r>
      <w:r>
        <w:rPr>
          <w:rFonts w:hint="eastAsia" w:hAnsi="Times New Roman"/>
          <w:highlight w:val="none"/>
        </w:rPr>
        <w:t>.我单位参与本项目投标近三年内，在经营活动中没有发生重大安全和质量事故。</w:t>
      </w:r>
    </w:p>
    <w:p>
      <w:pPr>
        <w:ind w:firstLine="424" w:firstLineChars="202"/>
        <w:rPr>
          <w:rFonts w:hAnsi="Times New Roman"/>
          <w:highlight w:val="none"/>
        </w:rPr>
      </w:pPr>
      <w:r>
        <w:rPr>
          <w:rFonts w:hAnsi="Times New Roman"/>
          <w:highlight w:val="none"/>
        </w:rPr>
        <w:t>6.</w:t>
      </w:r>
      <w:r>
        <w:rPr>
          <w:rFonts w:hint="eastAsia" w:hAnsi="Times New Roman"/>
          <w:highlight w:val="none"/>
        </w:rPr>
        <w:t>我单位具备《中华人民共和国政府采购法》第二十二条的条件。</w:t>
      </w:r>
    </w:p>
    <w:p>
      <w:pPr>
        <w:ind w:firstLine="424" w:firstLineChars="202"/>
        <w:rPr>
          <w:rFonts w:hAnsi="Times New Roman"/>
          <w:highlight w:val="none"/>
        </w:rPr>
      </w:pPr>
      <w:r>
        <w:rPr>
          <w:rFonts w:hAnsi="Times New Roman"/>
          <w:highlight w:val="none"/>
        </w:rPr>
        <w:t>7</w:t>
      </w:r>
      <w:r>
        <w:rPr>
          <w:rFonts w:hint="eastAsia" w:hAnsi="Times New Roman"/>
          <w:highlight w:val="none"/>
        </w:rPr>
        <w:t>.我单位未被列入失信被执行人、重大税收违法案件当事人名单（重大税收违法失信主体）、政府采购严重违法失信行为记录名单</w:t>
      </w:r>
    </w:p>
    <w:p>
      <w:pPr>
        <w:ind w:firstLine="424" w:firstLineChars="202"/>
        <w:rPr>
          <w:rFonts w:hAnsi="Times New Roman"/>
          <w:highlight w:val="none"/>
        </w:rPr>
      </w:pPr>
      <w:r>
        <w:rPr>
          <w:rFonts w:hAnsi="Times New Roman"/>
          <w:highlight w:val="none"/>
        </w:rPr>
        <w:t>8</w:t>
      </w:r>
      <w:r>
        <w:rPr>
          <w:rFonts w:hint="eastAsia" w:hAnsi="Times New Roman"/>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highlight w:val="none"/>
        </w:rPr>
      </w:pPr>
      <w:r>
        <w:rPr>
          <w:rFonts w:hAnsi="Times New Roman"/>
          <w:highlight w:val="none"/>
        </w:rPr>
        <w:t>9</w:t>
      </w:r>
      <w:r>
        <w:rPr>
          <w:rFonts w:hint="eastAsia" w:hAnsi="Times New Roman"/>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highlight w:val="none"/>
        </w:rPr>
      </w:pPr>
      <w:r>
        <w:rPr>
          <w:rFonts w:hint="eastAsia" w:hAnsi="Times New Roman"/>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highlight w:val="none"/>
        </w:rPr>
      </w:pPr>
      <w:r>
        <w:rPr>
          <w:rFonts w:hAnsi="Times New Roman"/>
          <w:highlight w:val="none"/>
        </w:rPr>
        <w:t>10</w:t>
      </w:r>
      <w:r>
        <w:rPr>
          <w:rFonts w:hint="eastAsia" w:hAnsi="Times New Roman"/>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highlight w:val="none"/>
        </w:rPr>
      </w:pPr>
      <w:r>
        <w:rPr>
          <w:rFonts w:hAnsi="Times New Roman"/>
          <w:highlight w:val="none"/>
        </w:rPr>
        <w:t>11</w:t>
      </w:r>
      <w:r>
        <w:rPr>
          <w:rFonts w:hint="eastAsia" w:hAnsi="Times New Roman"/>
          <w:highlight w:val="none"/>
        </w:rPr>
        <w:t>.我单位承诺中标后项目不转包，未经采购人同意不进行分包。</w:t>
      </w:r>
    </w:p>
    <w:p>
      <w:pPr>
        <w:ind w:firstLine="424" w:firstLineChars="202"/>
        <w:rPr>
          <w:rFonts w:hAnsi="Times New Roman"/>
          <w:highlight w:val="none"/>
        </w:rPr>
      </w:pPr>
      <w:r>
        <w:rPr>
          <w:rFonts w:hint="eastAsia" w:hAnsi="Times New Roman"/>
          <w:highlight w:val="none"/>
        </w:rPr>
        <w:t>1</w:t>
      </w:r>
      <w:r>
        <w:rPr>
          <w:rFonts w:hAnsi="Times New Roman"/>
          <w:highlight w:val="none"/>
        </w:rPr>
        <w:t>2</w:t>
      </w:r>
      <w:r>
        <w:rPr>
          <w:rFonts w:hint="eastAsia" w:hAnsi="Times New Roman"/>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highlight w:val="none"/>
        </w:rPr>
      </w:pPr>
      <w:r>
        <w:rPr>
          <w:rFonts w:hint="eastAsia" w:hAnsi="Times New Roman"/>
          <w:highlight w:val="none"/>
        </w:rPr>
        <w:t>1</w:t>
      </w:r>
      <w:r>
        <w:rPr>
          <w:rFonts w:hAnsi="Times New Roman"/>
          <w:highlight w:val="none"/>
        </w:rPr>
        <w:t>3</w:t>
      </w:r>
      <w:r>
        <w:rPr>
          <w:rFonts w:hint="eastAsia" w:hAnsi="Times New Roman"/>
          <w:highlight w:val="none"/>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highlight w:val="none"/>
        </w:rPr>
      </w:pPr>
      <w:r>
        <w:rPr>
          <w:rFonts w:hint="eastAsia" w:hAnsi="Times New Roman"/>
          <w:highlight w:val="none"/>
        </w:rPr>
        <w:t>1</w:t>
      </w:r>
      <w:r>
        <w:rPr>
          <w:rFonts w:hAnsi="Times New Roman"/>
          <w:highlight w:val="none"/>
        </w:rPr>
        <w:t>4</w:t>
      </w:r>
      <w:r>
        <w:rPr>
          <w:rFonts w:hint="eastAsia" w:hAnsi="Times New Roman"/>
          <w:highlight w:val="none"/>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highlight w:val="none"/>
        </w:rPr>
      </w:pPr>
      <w:r>
        <w:rPr>
          <w:rFonts w:hint="eastAsia" w:hAnsi="Times New Roman"/>
          <w:highlight w:val="none"/>
        </w:rPr>
        <w:t>15.我单位保证，参与本项目政府采购活动不存在与其他采购参加人串通投标、隐瞒真实情况、提供虚假资料等违法违规情形。</w:t>
      </w:r>
    </w:p>
    <w:p>
      <w:pPr>
        <w:ind w:firstLine="424" w:firstLineChars="202"/>
        <w:rPr>
          <w:rFonts w:hAnsi="Times New Roman"/>
          <w:highlight w:val="none"/>
        </w:rPr>
      </w:pPr>
      <w:r>
        <w:rPr>
          <w:rFonts w:hint="eastAsia" w:hAnsi="Times New Roman"/>
          <w:highlight w:val="none"/>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highlight w:val="none"/>
        </w:rPr>
      </w:pPr>
      <w:r>
        <w:rPr>
          <w:rFonts w:hint="eastAsia" w:hAnsi="Times New Roman"/>
          <w:highlight w:val="none"/>
        </w:rPr>
        <w:t>以上承诺，如有违反，愿依照国家相关法律处理，并承担由此给采购人带来的损失。</w:t>
      </w:r>
    </w:p>
    <w:p>
      <w:pPr>
        <w:ind w:firstLine="420"/>
        <w:rPr>
          <w:rFonts w:hAnsi="Times New Roman"/>
          <w:highlight w:val="none"/>
        </w:rPr>
      </w:pPr>
      <w:r>
        <w:rPr>
          <w:rFonts w:hint="eastAsia" w:hAnsi="Times New Roman"/>
          <w:highlight w:val="none"/>
        </w:rPr>
        <w:t>特此声明！</w:t>
      </w:r>
    </w:p>
    <w:p>
      <w:pPr>
        <w:tabs>
          <w:tab w:val="clear" w:pos="426"/>
        </w:tabs>
        <w:ind w:firstLine="420"/>
        <w:rPr>
          <w:rFonts w:hint="eastAsia"/>
          <w:highlight w:val="none"/>
        </w:rPr>
      </w:pPr>
    </w:p>
    <w:p>
      <w:pPr>
        <w:tabs>
          <w:tab w:val="clear" w:pos="426"/>
        </w:tabs>
        <w:ind w:firstLine="420"/>
        <w:rPr>
          <w:rFonts w:hint="eastAsia"/>
          <w:highlight w:val="none"/>
          <w:u w:val="single"/>
        </w:rPr>
      </w:pPr>
      <w:r>
        <w:rPr>
          <w:rFonts w:hint="eastAsia"/>
          <w:highlight w:val="none"/>
        </w:rPr>
        <w:t>单位名称：</w:t>
      </w:r>
      <w:r>
        <w:rPr>
          <w:rFonts w:hint="eastAsia"/>
          <w:highlight w:val="none"/>
          <w:u w:val="single"/>
        </w:rPr>
        <w:t>_____________________________________________________________</w:t>
      </w:r>
    </w:p>
    <w:p>
      <w:pPr>
        <w:tabs>
          <w:tab w:val="clear" w:pos="426"/>
        </w:tabs>
        <w:ind w:firstLine="420"/>
        <w:rPr>
          <w:rFonts w:hint="eastAsia"/>
          <w:highlight w:val="none"/>
          <w:u w:val="single"/>
        </w:rPr>
      </w:pPr>
      <w:r>
        <w:rPr>
          <w:rFonts w:hint="eastAsia"/>
          <w:highlight w:val="none"/>
        </w:rPr>
        <w:t>法定代表人或投标人授权代表（签字或盖章）：</w:t>
      </w:r>
      <w:r>
        <w:rPr>
          <w:rFonts w:hint="eastAsia"/>
          <w:highlight w:val="none"/>
          <w:u w:val="single"/>
        </w:rPr>
        <w:t>_____________________________</w:t>
      </w:r>
    </w:p>
    <w:p>
      <w:pPr>
        <w:tabs>
          <w:tab w:val="clear" w:pos="426"/>
        </w:tabs>
        <w:ind w:firstLine="420"/>
        <w:rPr>
          <w:rFonts w:hint="eastAsia"/>
          <w:highlight w:val="none"/>
          <w:u w:val="single"/>
        </w:rPr>
      </w:pPr>
      <w:r>
        <w:rPr>
          <w:rFonts w:hint="eastAsia"/>
          <w:highlight w:val="none"/>
        </w:rPr>
        <w:t>单位地址：</w:t>
      </w:r>
      <w:r>
        <w:rPr>
          <w:rFonts w:hint="eastAsia"/>
          <w:highlight w:val="none"/>
          <w:u w:val="single"/>
        </w:rPr>
        <w:t>_____________________________________________________________</w:t>
      </w:r>
    </w:p>
    <w:p>
      <w:pPr>
        <w:tabs>
          <w:tab w:val="clear" w:pos="426"/>
        </w:tabs>
        <w:ind w:firstLine="420"/>
        <w:rPr>
          <w:rFonts w:hint="eastAsia"/>
          <w:highlight w:val="none"/>
          <w:u w:val="single"/>
        </w:rPr>
      </w:pPr>
      <w:r>
        <w:rPr>
          <w:rFonts w:hint="eastAsia"/>
          <w:highlight w:val="none"/>
        </w:rPr>
        <w:t>单位公章：</w:t>
      </w:r>
      <w:r>
        <w:rPr>
          <w:rFonts w:hint="eastAsia"/>
          <w:highlight w:val="none"/>
          <w:u w:val="single"/>
        </w:rPr>
        <w:t>_____________________________________________________________</w:t>
      </w:r>
    </w:p>
    <w:p>
      <w:pPr>
        <w:tabs>
          <w:tab w:val="clear" w:pos="426"/>
        </w:tabs>
        <w:ind w:firstLine="420"/>
        <w:rPr>
          <w:rFonts w:hint="eastAsia"/>
          <w:highlight w:val="none"/>
          <w:u w:val="single"/>
        </w:rPr>
      </w:pPr>
      <w:r>
        <w:rPr>
          <w:rFonts w:hint="eastAsia"/>
          <w:highlight w:val="none"/>
        </w:rPr>
        <w:t>邮政编码：</w:t>
      </w:r>
      <w:r>
        <w:rPr>
          <w:rFonts w:hint="eastAsia"/>
          <w:highlight w:val="none"/>
          <w:u w:val="single"/>
        </w:rPr>
        <w:t>_____________________________</w:t>
      </w:r>
      <w:r>
        <w:rPr>
          <w:rFonts w:hint="eastAsia"/>
          <w:highlight w:val="none"/>
        </w:rPr>
        <w:t>日期：</w:t>
      </w:r>
      <w:r>
        <w:rPr>
          <w:rFonts w:hint="eastAsia"/>
          <w:highlight w:val="none"/>
          <w:u w:val="single"/>
        </w:rPr>
        <w:t>__________________________</w:t>
      </w:r>
    </w:p>
    <w:p>
      <w:pPr>
        <w:tabs>
          <w:tab w:val="clear" w:pos="426"/>
        </w:tabs>
        <w:ind w:firstLine="420" w:firstLineChars="200"/>
        <w:rPr>
          <w:rFonts w:hint="eastAsia"/>
          <w:highlight w:val="none"/>
          <w:u w:val="single"/>
        </w:rPr>
      </w:pPr>
      <w:r>
        <w:rPr>
          <w:rFonts w:hint="eastAsia"/>
          <w:highlight w:val="none"/>
        </w:rPr>
        <w:t>联系电话：</w:t>
      </w:r>
      <w:r>
        <w:rPr>
          <w:rFonts w:hint="eastAsia"/>
          <w:highlight w:val="none"/>
          <w:u w:val="single"/>
        </w:rPr>
        <w:t>_____________________________________________________________</w:t>
      </w:r>
    </w:p>
    <w:p>
      <w:pPr>
        <w:rPr>
          <w:rFonts w:hint="eastAsia"/>
          <w:highlight w:val="none"/>
        </w:rPr>
      </w:pPr>
    </w:p>
    <w:p>
      <w:pPr>
        <w:rPr>
          <w:rFonts w:hint="eastAsia"/>
          <w:b/>
          <w:sz w:val="24"/>
          <w:highlight w:val="none"/>
        </w:rPr>
      </w:pPr>
      <w:r>
        <w:rPr>
          <w:rFonts w:hint="eastAsia"/>
          <w:b/>
          <w:sz w:val="24"/>
          <w:highlight w:val="none"/>
        </w:rPr>
        <w:br w:type="page"/>
      </w:r>
    </w:p>
    <w:p>
      <w:pPr>
        <w:adjustRightInd/>
        <w:snapToGrid/>
        <w:spacing w:before="280" w:after="290" w:line="377" w:lineRule="auto"/>
        <w:outlineLvl w:val="2"/>
        <w:rPr>
          <w:rFonts w:hint="eastAsia"/>
          <w:b/>
          <w:sz w:val="24"/>
          <w:highlight w:val="none"/>
        </w:rPr>
      </w:pPr>
      <w:bookmarkStart w:id="120" w:name="_Toc21325"/>
      <w:r>
        <w:rPr>
          <w:rFonts w:hint="eastAsia"/>
          <w:b/>
          <w:sz w:val="24"/>
          <w:highlight w:val="none"/>
        </w:rPr>
        <w:t>格式7：开标一览表</w:t>
      </w:r>
      <w:bookmarkEnd w:id="117"/>
      <w:bookmarkEnd w:id="118"/>
      <w:bookmarkEnd w:id="120"/>
    </w:p>
    <w:p>
      <w:pPr>
        <w:widowControl w:val="0"/>
        <w:shd w:val="clear" w:color="auto" w:fill="auto"/>
        <w:tabs>
          <w:tab w:val="clear" w:pos="426"/>
        </w:tabs>
        <w:adjustRightInd/>
        <w:snapToGrid/>
        <w:spacing w:line="300" w:lineRule="auto"/>
        <w:jc w:val="center"/>
        <w:rPr>
          <w:rFonts w:hint="eastAsia" w:cs="Times New Roman"/>
          <w:bCs/>
          <w:kern w:val="2"/>
          <w:sz w:val="32"/>
          <w:szCs w:val="32"/>
          <w:highlight w:val="none"/>
        </w:rPr>
      </w:pPr>
      <w:bookmarkStart w:id="121" w:name="_Toc480756075"/>
      <w:bookmarkStart w:id="122" w:name="_Toc480754208"/>
      <w:bookmarkStart w:id="123" w:name="_Toc480789479"/>
      <w:bookmarkStart w:id="124" w:name="_Toc480755929"/>
      <w:r>
        <w:rPr>
          <w:rFonts w:hint="eastAsia" w:cs="Times New Roman"/>
          <w:bCs/>
          <w:kern w:val="2"/>
          <w:sz w:val="32"/>
          <w:szCs w:val="32"/>
          <w:highlight w:val="none"/>
        </w:rPr>
        <w:t>开标一览表</w:t>
      </w:r>
      <w:bookmarkEnd w:id="121"/>
      <w:bookmarkEnd w:id="122"/>
      <w:bookmarkEnd w:id="123"/>
      <w:bookmarkEnd w:id="124"/>
    </w:p>
    <w:p>
      <w:pPr>
        <w:tabs>
          <w:tab w:val="clear" w:pos="426"/>
        </w:tabs>
        <w:jc w:val="left"/>
        <w:rPr>
          <w:rFonts w:hint="eastAsia"/>
          <w:highlight w:val="none"/>
        </w:rPr>
      </w:pPr>
    </w:p>
    <w:p>
      <w:pPr>
        <w:tabs>
          <w:tab w:val="clear" w:pos="426"/>
        </w:tabs>
        <w:jc w:val="left"/>
        <w:rPr>
          <w:rFonts w:hint="eastAsia"/>
          <w:highlight w:val="none"/>
          <w:u w:val="single"/>
        </w:rPr>
      </w:pPr>
      <w:r>
        <w:rPr>
          <w:rFonts w:hint="eastAsia"/>
          <w:highlight w:val="none"/>
        </w:rPr>
        <w:t>项目名称：</w:t>
      </w:r>
      <w:r>
        <w:rPr>
          <w:rFonts w:hint="eastAsia"/>
          <w:highlight w:val="none"/>
          <w:u w:val="single"/>
        </w:rPr>
        <w:t>__________________________________________</w:t>
      </w:r>
      <w:r>
        <w:rPr>
          <w:rFonts w:hint="eastAsia"/>
          <w:highlight w:val="none"/>
        </w:rPr>
        <w:t>项目编号：</w:t>
      </w:r>
      <w:r>
        <w:rPr>
          <w:rFonts w:hint="eastAsia"/>
          <w:highlight w:val="none"/>
          <w:u w:val="single"/>
        </w:rPr>
        <w:t>_________________________</w:t>
      </w:r>
    </w:p>
    <w:tbl>
      <w:tblPr>
        <w:tblStyle w:val="85"/>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4629"/>
        <w:gridCol w:w="221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0" w:type="pct"/>
            <w:vAlign w:val="center"/>
          </w:tcPr>
          <w:p>
            <w:pPr>
              <w:jc w:val="center"/>
              <w:rPr>
                <w:rFonts w:hint="eastAsia"/>
                <w:b/>
                <w:szCs w:val="21"/>
                <w:highlight w:val="none"/>
              </w:rPr>
            </w:pPr>
            <w:r>
              <w:rPr>
                <w:rFonts w:hint="eastAsia"/>
                <w:b/>
                <w:szCs w:val="21"/>
                <w:highlight w:val="none"/>
              </w:rPr>
              <w:t>序号</w:t>
            </w:r>
          </w:p>
        </w:tc>
        <w:tc>
          <w:tcPr>
            <w:tcW w:w="2480" w:type="pct"/>
            <w:vAlign w:val="center"/>
          </w:tcPr>
          <w:p>
            <w:pPr>
              <w:jc w:val="center"/>
              <w:rPr>
                <w:rFonts w:hint="eastAsia"/>
                <w:b/>
                <w:szCs w:val="21"/>
                <w:highlight w:val="none"/>
              </w:rPr>
            </w:pPr>
            <w:r>
              <w:rPr>
                <w:rFonts w:hint="eastAsia"/>
                <w:b/>
                <w:szCs w:val="21"/>
                <w:highlight w:val="none"/>
              </w:rPr>
              <w:t>项目名称</w:t>
            </w:r>
          </w:p>
        </w:tc>
        <w:tc>
          <w:tcPr>
            <w:tcW w:w="1186" w:type="pct"/>
            <w:vAlign w:val="center"/>
          </w:tcPr>
          <w:p>
            <w:pPr>
              <w:jc w:val="center"/>
              <w:rPr>
                <w:rFonts w:hint="eastAsia"/>
                <w:b/>
                <w:szCs w:val="21"/>
                <w:highlight w:val="none"/>
              </w:rPr>
            </w:pPr>
            <w:r>
              <w:rPr>
                <w:rFonts w:hint="eastAsia"/>
                <w:b/>
                <w:szCs w:val="21"/>
                <w:highlight w:val="none"/>
              </w:rPr>
              <w:t>投标总价（元）</w:t>
            </w:r>
          </w:p>
        </w:tc>
        <w:tc>
          <w:tcPr>
            <w:tcW w:w="711" w:type="pct"/>
            <w:vAlign w:val="center"/>
          </w:tcPr>
          <w:p>
            <w:pPr>
              <w:jc w:val="center"/>
              <w:rPr>
                <w:rFonts w:hint="eastAsia"/>
                <w:b/>
                <w:szCs w:val="21"/>
                <w:highlight w:val="none"/>
              </w:rPr>
            </w:pPr>
            <w:r>
              <w:rPr>
                <w:rFonts w:hint="eastAsia"/>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20" w:type="pct"/>
            <w:vAlign w:val="center"/>
          </w:tcPr>
          <w:p>
            <w:pPr>
              <w:jc w:val="center"/>
              <w:rPr>
                <w:rFonts w:hint="eastAsia"/>
                <w:bCs/>
                <w:szCs w:val="21"/>
                <w:highlight w:val="none"/>
              </w:rPr>
            </w:pPr>
          </w:p>
        </w:tc>
        <w:tc>
          <w:tcPr>
            <w:tcW w:w="2480" w:type="pct"/>
            <w:vAlign w:val="center"/>
          </w:tcPr>
          <w:p>
            <w:pPr>
              <w:jc w:val="center"/>
              <w:rPr>
                <w:rFonts w:hint="eastAsia"/>
                <w:b/>
                <w:szCs w:val="21"/>
                <w:highlight w:val="none"/>
              </w:rPr>
            </w:pPr>
          </w:p>
        </w:tc>
        <w:tc>
          <w:tcPr>
            <w:tcW w:w="1186" w:type="pct"/>
            <w:vAlign w:val="center"/>
          </w:tcPr>
          <w:p>
            <w:pPr>
              <w:jc w:val="left"/>
              <w:rPr>
                <w:rFonts w:hint="eastAsia"/>
                <w:b/>
                <w:szCs w:val="21"/>
                <w:highlight w:val="none"/>
              </w:rPr>
            </w:pPr>
            <w:r>
              <w:rPr>
                <w:rFonts w:hint="eastAsia"/>
                <w:b/>
                <w:szCs w:val="21"/>
                <w:highlight w:val="none"/>
              </w:rPr>
              <w:t>大写：</w:t>
            </w:r>
          </w:p>
          <w:p>
            <w:pPr>
              <w:jc w:val="left"/>
              <w:rPr>
                <w:rFonts w:hint="eastAsia"/>
                <w:b/>
                <w:szCs w:val="21"/>
                <w:highlight w:val="none"/>
              </w:rPr>
            </w:pPr>
            <w:r>
              <w:rPr>
                <w:rFonts w:hint="eastAsia"/>
                <w:b/>
                <w:szCs w:val="21"/>
                <w:highlight w:val="none"/>
              </w:rPr>
              <w:t>小写：</w:t>
            </w:r>
          </w:p>
        </w:tc>
        <w:tc>
          <w:tcPr>
            <w:tcW w:w="711" w:type="pct"/>
            <w:vAlign w:val="center"/>
          </w:tcPr>
          <w:p>
            <w:pPr>
              <w:jc w:val="center"/>
              <w:rPr>
                <w:rFonts w:hint="eastAsia"/>
                <w:b/>
                <w:szCs w:val="21"/>
                <w:highlight w:val="none"/>
              </w:rPr>
            </w:pPr>
          </w:p>
        </w:tc>
      </w:tr>
    </w:tbl>
    <w:p>
      <w:pPr>
        <w:tabs>
          <w:tab w:val="clear" w:pos="426"/>
        </w:tabs>
        <w:jc w:val="left"/>
        <w:rPr>
          <w:rFonts w:hint="eastAsia"/>
          <w:highlight w:val="none"/>
          <w:u w:val="single"/>
        </w:rPr>
      </w:pPr>
    </w:p>
    <w:p>
      <w:pPr>
        <w:tabs>
          <w:tab w:val="clear" w:pos="426"/>
        </w:tabs>
        <w:spacing w:line="500" w:lineRule="exact"/>
        <w:rPr>
          <w:rFonts w:hint="eastAsia"/>
          <w:spacing w:val="4"/>
          <w:highlight w:val="none"/>
        </w:rPr>
      </w:pPr>
    </w:p>
    <w:p>
      <w:pPr>
        <w:tabs>
          <w:tab w:val="clear" w:pos="426"/>
        </w:tabs>
        <w:spacing w:line="500" w:lineRule="exact"/>
        <w:rPr>
          <w:rFonts w:hint="eastAsia"/>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r>
        <w:rPr>
          <w:rFonts w:hint="eastAsia"/>
          <w:spacing w:val="4"/>
          <w:highlight w:val="none"/>
          <w:u w:val="single"/>
        </w:rPr>
        <w:t>__________________________________________________________</w:t>
      </w:r>
    </w:p>
    <w:p>
      <w:pPr>
        <w:tabs>
          <w:tab w:val="clear" w:pos="426"/>
        </w:tabs>
        <w:spacing w:line="520" w:lineRule="exact"/>
        <w:rPr>
          <w:rFonts w:hint="eastAsia"/>
          <w:spacing w:val="4"/>
          <w:highlight w:val="none"/>
        </w:rPr>
      </w:pPr>
      <w:r>
        <w:rPr>
          <w:rFonts w:hint="eastAsia"/>
          <w:highlight w:val="none"/>
        </w:rPr>
        <w:t>法定代表人或投标人授权代表（签字或盖章）：</w:t>
      </w:r>
      <w:r>
        <w:rPr>
          <w:spacing w:val="4"/>
          <w:highlight w:val="none"/>
          <w:u w:val="single"/>
        </w:rPr>
        <w:t>_____________</w:t>
      </w:r>
      <w:r>
        <w:rPr>
          <w:rFonts w:hint="eastAsia"/>
          <w:spacing w:val="4"/>
          <w:highlight w:val="none"/>
        </w:rPr>
        <w:t>职务：</w:t>
      </w:r>
      <w:r>
        <w:rPr>
          <w:spacing w:val="4"/>
          <w:highlight w:val="none"/>
          <w:u w:val="single"/>
        </w:rPr>
        <w:t>________</w:t>
      </w:r>
      <w:r>
        <w:rPr>
          <w:rFonts w:hint="eastAsia"/>
          <w:spacing w:val="4"/>
          <w:highlight w:val="none"/>
        </w:rPr>
        <w:t>日期：</w:t>
      </w:r>
      <w:r>
        <w:rPr>
          <w:spacing w:val="4"/>
          <w:highlight w:val="none"/>
          <w:u w:val="single"/>
        </w:rPr>
        <w:t>_________</w:t>
      </w:r>
    </w:p>
    <w:p>
      <w:pPr>
        <w:tabs>
          <w:tab w:val="clear" w:pos="426"/>
        </w:tabs>
        <w:spacing w:line="400" w:lineRule="exact"/>
        <w:rPr>
          <w:rFonts w:hint="eastAsia"/>
          <w:b/>
          <w:bCs/>
          <w:szCs w:val="21"/>
          <w:highlight w:val="none"/>
        </w:rPr>
      </w:pPr>
    </w:p>
    <w:p>
      <w:pPr>
        <w:tabs>
          <w:tab w:val="clear" w:pos="426"/>
        </w:tabs>
        <w:spacing w:line="400" w:lineRule="exact"/>
        <w:rPr>
          <w:rFonts w:hint="eastAsia"/>
          <w:b/>
          <w:bCs/>
          <w:szCs w:val="21"/>
          <w:highlight w:val="none"/>
        </w:rPr>
      </w:pPr>
      <w:r>
        <w:rPr>
          <w:rFonts w:hint="eastAsia"/>
          <w:b/>
          <w:bCs/>
          <w:szCs w:val="21"/>
          <w:highlight w:val="none"/>
        </w:rPr>
        <w:t>备注：</w:t>
      </w:r>
    </w:p>
    <w:p>
      <w:pPr>
        <w:numPr>
          <w:ilvl w:val="1"/>
          <w:numId w:val="5"/>
        </w:numPr>
        <w:tabs>
          <w:tab w:val="left" w:pos="0"/>
        </w:tabs>
        <w:ind w:left="0" w:firstLine="424" w:firstLineChars="201"/>
        <w:rPr>
          <w:rFonts w:hAnsi="Times New Roman"/>
          <w:b/>
          <w:bCs/>
          <w:szCs w:val="21"/>
          <w:highlight w:val="none"/>
        </w:rPr>
      </w:pPr>
      <w:r>
        <w:rPr>
          <w:rFonts w:hAnsi="Times New Roman"/>
          <w:b/>
          <w:highlight w:val="none"/>
        </w:rPr>
        <w:t>此表</w:t>
      </w:r>
      <w:r>
        <w:rPr>
          <w:rFonts w:hint="eastAsia" w:hAnsi="Times New Roman"/>
          <w:b/>
          <w:highlight w:val="none"/>
        </w:rPr>
        <w:t>为投标文件的组成部分，</w:t>
      </w:r>
      <w:r>
        <w:rPr>
          <w:rFonts w:hAnsi="Times New Roman"/>
          <w:b/>
          <w:highlight w:val="none"/>
        </w:rPr>
        <w:t>须附在正、副本的投标文件中，并另封装一份于开标信封中</w:t>
      </w:r>
      <w:r>
        <w:rPr>
          <w:rFonts w:hint="eastAsia" w:hAnsi="Times New Roman"/>
          <w:b/>
          <w:highlight w:val="none"/>
        </w:rPr>
        <w:t>（信封中须同时提供法定代表人（单位负责人）证明书、授权委托书、被授权人身份证复印件）。</w:t>
      </w:r>
    </w:p>
    <w:p>
      <w:pPr>
        <w:numPr>
          <w:ilvl w:val="1"/>
          <w:numId w:val="5"/>
        </w:numPr>
        <w:tabs>
          <w:tab w:val="left" w:pos="0"/>
        </w:tabs>
        <w:ind w:left="0" w:firstLine="424" w:firstLineChars="201"/>
        <w:rPr>
          <w:rFonts w:hAnsi="Times New Roman"/>
          <w:b/>
          <w:bCs/>
          <w:szCs w:val="21"/>
          <w:highlight w:val="none"/>
        </w:rPr>
      </w:pPr>
      <w:r>
        <w:rPr>
          <w:rFonts w:hint="eastAsia" w:hAnsi="Times New Roman"/>
          <w:b/>
          <w:highlight w:val="none"/>
        </w:rPr>
        <w:t>此表内投标报价为最终价，开标信封及投标文件内不得含有任何对本报价进行修改的其他说明或资料，否则为无效投标</w:t>
      </w:r>
      <w:r>
        <w:rPr>
          <w:rFonts w:hint="eastAsia" w:hAnsi="Times New Roman"/>
          <w:b/>
          <w:bCs/>
          <w:szCs w:val="21"/>
          <w:highlight w:val="none"/>
        </w:rPr>
        <w:t>。</w:t>
      </w:r>
    </w:p>
    <w:p>
      <w:pPr>
        <w:numPr>
          <w:ilvl w:val="1"/>
          <w:numId w:val="5"/>
        </w:numPr>
        <w:tabs>
          <w:tab w:val="left" w:pos="0"/>
        </w:tabs>
        <w:ind w:left="0" w:firstLine="424" w:firstLineChars="201"/>
        <w:rPr>
          <w:rFonts w:hAnsi="Times New Roman"/>
          <w:b/>
          <w:highlight w:val="none"/>
        </w:rPr>
      </w:pPr>
      <w:r>
        <w:rPr>
          <w:rFonts w:hint="eastAsia" w:hAnsi="Times New Roman"/>
          <w:b/>
          <w:highlight w:val="none"/>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5"/>
        </w:numPr>
        <w:tabs>
          <w:tab w:val="left" w:pos="0"/>
        </w:tabs>
        <w:ind w:left="0" w:firstLine="424" w:firstLineChars="201"/>
        <w:rPr>
          <w:rFonts w:hAnsi="Times New Roman"/>
          <w:b/>
          <w:highlight w:val="none"/>
        </w:rPr>
      </w:pPr>
      <w:r>
        <w:rPr>
          <w:rFonts w:hint="eastAsia" w:hAnsi="Times New Roman"/>
          <w:b/>
          <w:highlight w:val="none"/>
        </w:rPr>
        <w:t>投标报价得分四舍五入后，小数点后保留两位有效数。</w:t>
      </w:r>
    </w:p>
    <w:p>
      <w:pPr>
        <w:widowControl w:val="0"/>
        <w:shd w:val="clear" w:color="auto" w:fill="auto"/>
        <w:tabs>
          <w:tab w:val="clear" w:pos="426"/>
        </w:tabs>
        <w:adjustRightInd/>
        <w:rPr>
          <w:rFonts w:hint="eastAsia"/>
          <w:b/>
          <w:bCs/>
          <w:szCs w:val="21"/>
          <w:highlight w:val="none"/>
        </w:rPr>
      </w:pPr>
    </w:p>
    <w:p>
      <w:pPr>
        <w:widowControl w:val="0"/>
        <w:shd w:val="clear" w:color="auto" w:fill="auto"/>
        <w:tabs>
          <w:tab w:val="clear" w:pos="426"/>
        </w:tabs>
        <w:adjustRightInd/>
        <w:rPr>
          <w:rFonts w:hint="eastAsia"/>
          <w:b/>
          <w:bCs/>
          <w:szCs w:val="21"/>
          <w:highlight w:val="none"/>
        </w:rPr>
      </w:pPr>
    </w:p>
    <w:p>
      <w:pPr>
        <w:widowControl w:val="0"/>
        <w:shd w:val="clear" w:color="auto" w:fill="auto"/>
        <w:tabs>
          <w:tab w:val="clear" w:pos="426"/>
        </w:tabs>
        <w:adjustRightInd/>
        <w:rPr>
          <w:rFonts w:hint="eastAsia"/>
          <w:b/>
          <w:bCs/>
          <w:szCs w:val="21"/>
          <w:highlight w:val="none"/>
        </w:rPr>
      </w:pPr>
    </w:p>
    <w:p>
      <w:pPr>
        <w:widowControl w:val="0"/>
        <w:shd w:val="clear" w:color="auto" w:fill="auto"/>
        <w:tabs>
          <w:tab w:val="clear" w:pos="426"/>
        </w:tabs>
        <w:adjustRightInd/>
        <w:rPr>
          <w:rFonts w:hint="eastAsia"/>
          <w:b/>
          <w:bCs/>
          <w:szCs w:val="21"/>
          <w:highlight w:val="none"/>
        </w:rPr>
      </w:pPr>
    </w:p>
    <w:p>
      <w:pPr>
        <w:adjustRightInd/>
        <w:snapToGrid/>
        <w:spacing w:before="280" w:after="290" w:line="377" w:lineRule="auto"/>
        <w:outlineLvl w:val="2"/>
        <w:rPr>
          <w:rFonts w:hint="eastAsia"/>
          <w:b/>
          <w:sz w:val="24"/>
          <w:highlight w:val="none"/>
        </w:rPr>
      </w:pPr>
      <w:r>
        <w:rPr>
          <w:b/>
          <w:highlight w:val="none"/>
        </w:rPr>
        <w:br w:type="page"/>
      </w:r>
      <w:bookmarkStart w:id="125" w:name="_Toc23484"/>
      <w:r>
        <w:rPr>
          <w:rFonts w:hint="eastAsia"/>
          <w:b/>
          <w:sz w:val="24"/>
          <w:highlight w:val="none"/>
        </w:rPr>
        <w:t>格式8：投标分项报价表</w:t>
      </w:r>
      <w:bookmarkEnd w:id="125"/>
    </w:p>
    <w:p>
      <w:pPr>
        <w:widowControl w:val="0"/>
        <w:shd w:val="clear" w:color="auto" w:fill="auto"/>
        <w:tabs>
          <w:tab w:val="clear" w:pos="426"/>
        </w:tabs>
        <w:adjustRightInd/>
        <w:snapToGrid/>
        <w:spacing w:line="300" w:lineRule="auto"/>
        <w:jc w:val="center"/>
        <w:rPr>
          <w:rFonts w:hint="eastAsia" w:cs="Times New Roman"/>
          <w:b/>
          <w:bCs/>
          <w:kern w:val="2"/>
          <w:sz w:val="28"/>
          <w:szCs w:val="28"/>
          <w:highlight w:val="none"/>
        </w:rPr>
      </w:pPr>
      <w:r>
        <w:rPr>
          <w:rFonts w:hint="eastAsia" w:cs="Times New Roman"/>
          <w:b/>
          <w:bCs/>
          <w:kern w:val="2"/>
          <w:sz w:val="28"/>
          <w:szCs w:val="28"/>
          <w:highlight w:val="none"/>
        </w:rPr>
        <w:t>（一）项目报价表</w:t>
      </w:r>
    </w:p>
    <w:p>
      <w:pPr>
        <w:tabs>
          <w:tab w:val="clear" w:pos="426"/>
        </w:tabs>
        <w:wordWrap w:val="0"/>
        <w:rPr>
          <w:rFonts w:hint="eastAsia"/>
          <w:highlight w:val="none"/>
        </w:rPr>
      </w:pPr>
      <w:r>
        <w:rPr>
          <w:rFonts w:hint="eastAsia"/>
          <w:highlight w:val="none"/>
        </w:rPr>
        <w:t>项目名称：</w:t>
      </w:r>
      <w:r>
        <w:rPr>
          <w:rFonts w:hint="eastAsia"/>
          <w:highlight w:val="none"/>
          <w:u w:val="single"/>
        </w:rPr>
        <w:t>_____________________________________</w:t>
      </w:r>
      <w:r>
        <w:rPr>
          <w:rFonts w:hint="eastAsia"/>
          <w:highlight w:val="none"/>
        </w:rPr>
        <w:t>项目编号：</w:t>
      </w:r>
      <w:r>
        <w:rPr>
          <w:rFonts w:hint="eastAsia" w:ascii="ˎ̥" w:hAnsi="ˎ̥"/>
          <w:sz w:val="18"/>
          <w:szCs w:val="18"/>
          <w:highlight w:val="none"/>
          <w:u w:val="single"/>
        </w:rPr>
        <w:t>________________________________</w:t>
      </w:r>
    </w:p>
    <w:tbl>
      <w:tblPr>
        <w:tblStyle w:val="85"/>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1057"/>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Cs w:val="21"/>
                <w:highlight w:val="none"/>
              </w:rPr>
            </w:pPr>
            <w:r>
              <w:rPr>
                <w:rFonts w:hint="eastAsia"/>
                <w:szCs w:val="21"/>
                <w:highlight w:val="none"/>
              </w:rPr>
              <w:t>序号</w:t>
            </w:r>
          </w:p>
        </w:tc>
        <w:tc>
          <w:tcPr>
            <w:tcW w:w="1347" w:type="dxa"/>
            <w:vAlign w:val="center"/>
          </w:tcPr>
          <w:p>
            <w:pPr>
              <w:spacing w:line="240" w:lineRule="auto"/>
              <w:jc w:val="center"/>
              <w:rPr>
                <w:rFonts w:hint="eastAsia"/>
                <w:szCs w:val="21"/>
                <w:highlight w:val="none"/>
              </w:rPr>
            </w:pPr>
            <w:r>
              <w:rPr>
                <w:rFonts w:hint="eastAsia"/>
                <w:szCs w:val="21"/>
                <w:highlight w:val="none"/>
              </w:rPr>
              <w:t>货物名称</w:t>
            </w:r>
          </w:p>
        </w:tc>
        <w:tc>
          <w:tcPr>
            <w:tcW w:w="1417" w:type="dxa"/>
            <w:vAlign w:val="center"/>
          </w:tcPr>
          <w:p>
            <w:pPr>
              <w:spacing w:line="240" w:lineRule="auto"/>
              <w:jc w:val="center"/>
              <w:rPr>
                <w:rFonts w:hint="eastAsia"/>
                <w:szCs w:val="21"/>
                <w:highlight w:val="none"/>
              </w:rPr>
            </w:pPr>
            <w:r>
              <w:rPr>
                <w:rFonts w:hint="eastAsia"/>
                <w:szCs w:val="21"/>
                <w:highlight w:val="none"/>
              </w:rPr>
              <w:t>规格/型号</w:t>
            </w:r>
          </w:p>
        </w:tc>
        <w:tc>
          <w:tcPr>
            <w:tcW w:w="851" w:type="dxa"/>
            <w:vAlign w:val="center"/>
          </w:tcPr>
          <w:p>
            <w:pPr>
              <w:spacing w:line="240" w:lineRule="auto"/>
              <w:jc w:val="center"/>
              <w:rPr>
                <w:rFonts w:hint="eastAsia"/>
                <w:b/>
                <w:szCs w:val="21"/>
                <w:highlight w:val="none"/>
              </w:rPr>
            </w:pPr>
            <w:r>
              <w:rPr>
                <w:rFonts w:hint="eastAsia"/>
                <w:b/>
                <w:szCs w:val="21"/>
                <w:highlight w:val="none"/>
              </w:rPr>
              <w:t>原产地</w:t>
            </w:r>
          </w:p>
        </w:tc>
        <w:tc>
          <w:tcPr>
            <w:tcW w:w="992" w:type="dxa"/>
            <w:vAlign w:val="center"/>
          </w:tcPr>
          <w:p>
            <w:pPr>
              <w:spacing w:line="240" w:lineRule="auto"/>
              <w:jc w:val="center"/>
              <w:rPr>
                <w:rFonts w:hint="eastAsia"/>
                <w:szCs w:val="21"/>
                <w:highlight w:val="none"/>
              </w:rPr>
            </w:pPr>
            <w:r>
              <w:rPr>
                <w:rFonts w:hint="eastAsia"/>
                <w:szCs w:val="21"/>
                <w:highlight w:val="none"/>
              </w:rPr>
              <w:t>制造商名称</w:t>
            </w:r>
          </w:p>
        </w:tc>
        <w:tc>
          <w:tcPr>
            <w:tcW w:w="709" w:type="dxa"/>
            <w:vAlign w:val="center"/>
          </w:tcPr>
          <w:p>
            <w:pPr>
              <w:spacing w:line="240" w:lineRule="auto"/>
              <w:jc w:val="center"/>
              <w:rPr>
                <w:rFonts w:hint="eastAsia"/>
                <w:szCs w:val="21"/>
                <w:highlight w:val="none"/>
              </w:rPr>
            </w:pPr>
            <w:r>
              <w:rPr>
                <w:rFonts w:hint="eastAsia"/>
                <w:szCs w:val="21"/>
                <w:highlight w:val="none"/>
              </w:rPr>
              <w:t>数量</w:t>
            </w:r>
          </w:p>
        </w:tc>
        <w:tc>
          <w:tcPr>
            <w:tcW w:w="737" w:type="dxa"/>
            <w:vAlign w:val="center"/>
          </w:tcPr>
          <w:p>
            <w:pPr>
              <w:spacing w:line="240" w:lineRule="auto"/>
              <w:jc w:val="center"/>
              <w:rPr>
                <w:rFonts w:hint="eastAsia"/>
                <w:szCs w:val="21"/>
                <w:highlight w:val="none"/>
              </w:rPr>
            </w:pPr>
            <w:r>
              <w:rPr>
                <w:rFonts w:hint="eastAsia"/>
                <w:szCs w:val="21"/>
                <w:highlight w:val="none"/>
              </w:rPr>
              <w:t>单位</w:t>
            </w:r>
          </w:p>
        </w:tc>
        <w:tc>
          <w:tcPr>
            <w:tcW w:w="1057" w:type="dxa"/>
            <w:vAlign w:val="center"/>
          </w:tcPr>
          <w:p>
            <w:pPr>
              <w:spacing w:line="240" w:lineRule="auto"/>
              <w:jc w:val="center"/>
              <w:rPr>
                <w:rFonts w:hint="eastAsia"/>
                <w:szCs w:val="21"/>
                <w:highlight w:val="none"/>
              </w:rPr>
            </w:pPr>
            <w:r>
              <w:rPr>
                <w:rFonts w:hint="eastAsia"/>
                <w:szCs w:val="21"/>
                <w:highlight w:val="none"/>
              </w:rPr>
              <w:t>单价(元)</w:t>
            </w:r>
          </w:p>
        </w:tc>
        <w:tc>
          <w:tcPr>
            <w:tcW w:w="1276" w:type="dxa"/>
            <w:vAlign w:val="center"/>
          </w:tcPr>
          <w:p>
            <w:pPr>
              <w:spacing w:line="240" w:lineRule="auto"/>
              <w:jc w:val="center"/>
              <w:rPr>
                <w:rFonts w:hint="eastAsia"/>
                <w:szCs w:val="21"/>
                <w:highlight w:val="none"/>
              </w:rPr>
            </w:pPr>
            <w:r>
              <w:rPr>
                <w:rFonts w:hint="eastAsia"/>
                <w:szCs w:val="21"/>
                <w:highlight w:val="none"/>
              </w:rPr>
              <w:t>合价(元)</w:t>
            </w:r>
          </w:p>
        </w:tc>
        <w:tc>
          <w:tcPr>
            <w:tcW w:w="1082" w:type="dxa"/>
            <w:vAlign w:val="center"/>
          </w:tcPr>
          <w:p>
            <w:pPr>
              <w:spacing w:line="240" w:lineRule="auto"/>
              <w:jc w:val="center"/>
              <w:rPr>
                <w:rFonts w:hint="eastAsia"/>
                <w:szCs w:val="21"/>
                <w:highlight w:val="none"/>
              </w:rPr>
            </w:pPr>
            <w:r>
              <w:rPr>
                <w:rFonts w:hint="eastAsia"/>
                <w:szCs w:val="21"/>
                <w:highlight w:val="none"/>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highlight w:val="none"/>
              </w:rPr>
            </w:pPr>
          </w:p>
        </w:tc>
        <w:tc>
          <w:tcPr>
            <w:tcW w:w="1347" w:type="dxa"/>
            <w:vAlign w:val="center"/>
          </w:tcPr>
          <w:p>
            <w:pPr>
              <w:spacing w:line="240" w:lineRule="auto"/>
              <w:jc w:val="center"/>
              <w:rPr>
                <w:rFonts w:hint="eastAsia"/>
                <w:sz w:val="24"/>
                <w:highlight w:val="none"/>
              </w:rPr>
            </w:pPr>
          </w:p>
        </w:tc>
        <w:tc>
          <w:tcPr>
            <w:tcW w:w="1417" w:type="dxa"/>
            <w:vAlign w:val="center"/>
          </w:tcPr>
          <w:p>
            <w:pPr>
              <w:spacing w:line="240" w:lineRule="auto"/>
              <w:jc w:val="center"/>
              <w:rPr>
                <w:rFonts w:hint="eastAsia"/>
                <w:sz w:val="24"/>
                <w:highlight w:val="none"/>
              </w:rPr>
            </w:pPr>
          </w:p>
        </w:tc>
        <w:tc>
          <w:tcPr>
            <w:tcW w:w="851" w:type="dxa"/>
            <w:vAlign w:val="center"/>
          </w:tcPr>
          <w:p>
            <w:pPr>
              <w:spacing w:line="240" w:lineRule="auto"/>
              <w:jc w:val="center"/>
              <w:rPr>
                <w:rFonts w:hint="eastAsia"/>
                <w:sz w:val="24"/>
                <w:highlight w:val="none"/>
              </w:rPr>
            </w:pPr>
          </w:p>
        </w:tc>
        <w:tc>
          <w:tcPr>
            <w:tcW w:w="992" w:type="dxa"/>
            <w:vAlign w:val="center"/>
          </w:tcPr>
          <w:p>
            <w:pPr>
              <w:spacing w:line="240" w:lineRule="auto"/>
              <w:jc w:val="center"/>
              <w:rPr>
                <w:rFonts w:hint="eastAsia"/>
                <w:sz w:val="24"/>
                <w:highlight w:val="none"/>
              </w:rPr>
            </w:pPr>
          </w:p>
        </w:tc>
        <w:tc>
          <w:tcPr>
            <w:tcW w:w="709" w:type="dxa"/>
            <w:vAlign w:val="center"/>
          </w:tcPr>
          <w:p>
            <w:pPr>
              <w:spacing w:line="240" w:lineRule="auto"/>
              <w:jc w:val="center"/>
              <w:rPr>
                <w:rFonts w:hint="eastAsia"/>
                <w:sz w:val="24"/>
                <w:highlight w:val="none"/>
              </w:rPr>
            </w:pPr>
          </w:p>
        </w:tc>
        <w:tc>
          <w:tcPr>
            <w:tcW w:w="737" w:type="dxa"/>
            <w:vAlign w:val="center"/>
          </w:tcPr>
          <w:p>
            <w:pPr>
              <w:spacing w:line="240" w:lineRule="auto"/>
              <w:jc w:val="center"/>
              <w:rPr>
                <w:rFonts w:hint="eastAsia"/>
                <w:sz w:val="24"/>
                <w:highlight w:val="none"/>
              </w:rPr>
            </w:pPr>
          </w:p>
        </w:tc>
        <w:tc>
          <w:tcPr>
            <w:tcW w:w="1057" w:type="dxa"/>
            <w:vAlign w:val="center"/>
          </w:tcPr>
          <w:p>
            <w:pPr>
              <w:spacing w:line="240" w:lineRule="auto"/>
              <w:jc w:val="center"/>
              <w:rPr>
                <w:rFonts w:hint="eastAsia"/>
                <w:sz w:val="24"/>
                <w:highlight w:val="none"/>
              </w:rPr>
            </w:pPr>
          </w:p>
        </w:tc>
        <w:tc>
          <w:tcPr>
            <w:tcW w:w="1276" w:type="dxa"/>
            <w:vAlign w:val="center"/>
          </w:tcPr>
          <w:p>
            <w:pPr>
              <w:spacing w:line="240" w:lineRule="auto"/>
              <w:jc w:val="center"/>
              <w:rPr>
                <w:rFonts w:hint="eastAsia"/>
                <w:sz w:val="24"/>
                <w:highlight w:val="none"/>
              </w:rPr>
            </w:pPr>
          </w:p>
        </w:tc>
        <w:tc>
          <w:tcPr>
            <w:tcW w:w="1082" w:type="dxa"/>
            <w:vAlign w:val="center"/>
          </w:tcPr>
          <w:p>
            <w:pPr>
              <w:spacing w:line="24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highlight w:val="none"/>
              </w:rPr>
            </w:pPr>
          </w:p>
        </w:tc>
        <w:tc>
          <w:tcPr>
            <w:tcW w:w="1347" w:type="dxa"/>
            <w:vAlign w:val="center"/>
          </w:tcPr>
          <w:p>
            <w:pPr>
              <w:spacing w:line="240" w:lineRule="auto"/>
              <w:jc w:val="center"/>
              <w:rPr>
                <w:rFonts w:hint="eastAsia"/>
                <w:sz w:val="24"/>
                <w:highlight w:val="none"/>
              </w:rPr>
            </w:pPr>
          </w:p>
        </w:tc>
        <w:tc>
          <w:tcPr>
            <w:tcW w:w="1417" w:type="dxa"/>
            <w:vAlign w:val="center"/>
          </w:tcPr>
          <w:p>
            <w:pPr>
              <w:spacing w:line="240" w:lineRule="auto"/>
              <w:jc w:val="center"/>
              <w:rPr>
                <w:rFonts w:hint="eastAsia"/>
                <w:sz w:val="24"/>
                <w:highlight w:val="none"/>
              </w:rPr>
            </w:pPr>
          </w:p>
        </w:tc>
        <w:tc>
          <w:tcPr>
            <w:tcW w:w="851" w:type="dxa"/>
            <w:vAlign w:val="center"/>
          </w:tcPr>
          <w:p>
            <w:pPr>
              <w:spacing w:line="240" w:lineRule="auto"/>
              <w:jc w:val="center"/>
              <w:rPr>
                <w:rFonts w:hint="eastAsia"/>
                <w:sz w:val="24"/>
                <w:highlight w:val="none"/>
              </w:rPr>
            </w:pPr>
          </w:p>
        </w:tc>
        <w:tc>
          <w:tcPr>
            <w:tcW w:w="992" w:type="dxa"/>
            <w:vAlign w:val="center"/>
          </w:tcPr>
          <w:p>
            <w:pPr>
              <w:spacing w:line="240" w:lineRule="auto"/>
              <w:jc w:val="center"/>
              <w:rPr>
                <w:rFonts w:hint="eastAsia"/>
                <w:sz w:val="24"/>
                <w:highlight w:val="none"/>
              </w:rPr>
            </w:pPr>
          </w:p>
        </w:tc>
        <w:tc>
          <w:tcPr>
            <w:tcW w:w="709" w:type="dxa"/>
            <w:vAlign w:val="center"/>
          </w:tcPr>
          <w:p>
            <w:pPr>
              <w:spacing w:line="240" w:lineRule="auto"/>
              <w:jc w:val="center"/>
              <w:rPr>
                <w:rFonts w:hint="eastAsia"/>
                <w:sz w:val="24"/>
                <w:highlight w:val="none"/>
              </w:rPr>
            </w:pPr>
          </w:p>
        </w:tc>
        <w:tc>
          <w:tcPr>
            <w:tcW w:w="737" w:type="dxa"/>
            <w:vAlign w:val="center"/>
          </w:tcPr>
          <w:p>
            <w:pPr>
              <w:spacing w:line="240" w:lineRule="auto"/>
              <w:jc w:val="center"/>
              <w:rPr>
                <w:rFonts w:hint="eastAsia"/>
                <w:sz w:val="24"/>
                <w:highlight w:val="none"/>
              </w:rPr>
            </w:pPr>
          </w:p>
        </w:tc>
        <w:tc>
          <w:tcPr>
            <w:tcW w:w="1057" w:type="dxa"/>
            <w:vAlign w:val="center"/>
          </w:tcPr>
          <w:p>
            <w:pPr>
              <w:spacing w:line="240" w:lineRule="auto"/>
              <w:jc w:val="center"/>
              <w:rPr>
                <w:rFonts w:hint="eastAsia"/>
                <w:sz w:val="24"/>
                <w:highlight w:val="none"/>
              </w:rPr>
            </w:pPr>
          </w:p>
        </w:tc>
        <w:tc>
          <w:tcPr>
            <w:tcW w:w="1276" w:type="dxa"/>
            <w:vAlign w:val="center"/>
          </w:tcPr>
          <w:p>
            <w:pPr>
              <w:spacing w:line="240" w:lineRule="auto"/>
              <w:jc w:val="center"/>
              <w:rPr>
                <w:rFonts w:hint="eastAsia"/>
                <w:sz w:val="24"/>
                <w:highlight w:val="none"/>
              </w:rPr>
            </w:pPr>
          </w:p>
        </w:tc>
        <w:tc>
          <w:tcPr>
            <w:tcW w:w="1082" w:type="dxa"/>
            <w:vAlign w:val="center"/>
          </w:tcPr>
          <w:p>
            <w:pPr>
              <w:spacing w:line="24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highlight w:val="none"/>
              </w:rPr>
            </w:pPr>
          </w:p>
        </w:tc>
        <w:tc>
          <w:tcPr>
            <w:tcW w:w="1347" w:type="dxa"/>
            <w:vAlign w:val="center"/>
          </w:tcPr>
          <w:p>
            <w:pPr>
              <w:spacing w:line="240" w:lineRule="auto"/>
              <w:jc w:val="center"/>
              <w:rPr>
                <w:rFonts w:hint="eastAsia"/>
                <w:sz w:val="24"/>
                <w:highlight w:val="none"/>
              </w:rPr>
            </w:pPr>
          </w:p>
        </w:tc>
        <w:tc>
          <w:tcPr>
            <w:tcW w:w="1417" w:type="dxa"/>
            <w:vAlign w:val="center"/>
          </w:tcPr>
          <w:p>
            <w:pPr>
              <w:spacing w:line="240" w:lineRule="auto"/>
              <w:jc w:val="center"/>
              <w:rPr>
                <w:rFonts w:hint="eastAsia"/>
                <w:sz w:val="24"/>
                <w:highlight w:val="none"/>
              </w:rPr>
            </w:pPr>
          </w:p>
        </w:tc>
        <w:tc>
          <w:tcPr>
            <w:tcW w:w="851" w:type="dxa"/>
            <w:vAlign w:val="center"/>
          </w:tcPr>
          <w:p>
            <w:pPr>
              <w:spacing w:line="240" w:lineRule="auto"/>
              <w:jc w:val="center"/>
              <w:rPr>
                <w:rFonts w:hint="eastAsia"/>
                <w:sz w:val="24"/>
                <w:highlight w:val="none"/>
              </w:rPr>
            </w:pPr>
          </w:p>
        </w:tc>
        <w:tc>
          <w:tcPr>
            <w:tcW w:w="992" w:type="dxa"/>
            <w:vAlign w:val="center"/>
          </w:tcPr>
          <w:p>
            <w:pPr>
              <w:spacing w:line="240" w:lineRule="auto"/>
              <w:jc w:val="center"/>
              <w:rPr>
                <w:rFonts w:hint="eastAsia"/>
                <w:sz w:val="24"/>
                <w:highlight w:val="none"/>
              </w:rPr>
            </w:pPr>
          </w:p>
        </w:tc>
        <w:tc>
          <w:tcPr>
            <w:tcW w:w="709" w:type="dxa"/>
            <w:vAlign w:val="center"/>
          </w:tcPr>
          <w:p>
            <w:pPr>
              <w:spacing w:line="240" w:lineRule="auto"/>
              <w:jc w:val="center"/>
              <w:rPr>
                <w:rFonts w:hint="eastAsia"/>
                <w:sz w:val="24"/>
                <w:highlight w:val="none"/>
              </w:rPr>
            </w:pPr>
          </w:p>
        </w:tc>
        <w:tc>
          <w:tcPr>
            <w:tcW w:w="737" w:type="dxa"/>
            <w:vAlign w:val="center"/>
          </w:tcPr>
          <w:p>
            <w:pPr>
              <w:spacing w:line="240" w:lineRule="auto"/>
              <w:jc w:val="center"/>
              <w:rPr>
                <w:rFonts w:hint="eastAsia"/>
                <w:sz w:val="24"/>
                <w:highlight w:val="none"/>
              </w:rPr>
            </w:pPr>
          </w:p>
        </w:tc>
        <w:tc>
          <w:tcPr>
            <w:tcW w:w="1057" w:type="dxa"/>
            <w:vAlign w:val="center"/>
          </w:tcPr>
          <w:p>
            <w:pPr>
              <w:spacing w:line="240" w:lineRule="auto"/>
              <w:jc w:val="center"/>
              <w:rPr>
                <w:rFonts w:hint="eastAsia"/>
                <w:sz w:val="24"/>
                <w:highlight w:val="none"/>
              </w:rPr>
            </w:pPr>
          </w:p>
        </w:tc>
        <w:tc>
          <w:tcPr>
            <w:tcW w:w="1276" w:type="dxa"/>
            <w:vAlign w:val="center"/>
          </w:tcPr>
          <w:p>
            <w:pPr>
              <w:spacing w:line="240" w:lineRule="auto"/>
              <w:jc w:val="center"/>
              <w:rPr>
                <w:rFonts w:hint="eastAsia"/>
                <w:sz w:val="24"/>
                <w:highlight w:val="none"/>
              </w:rPr>
            </w:pPr>
          </w:p>
        </w:tc>
        <w:tc>
          <w:tcPr>
            <w:tcW w:w="1082" w:type="dxa"/>
            <w:vAlign w:val="center"/>
          </w:tcPr>
          <w:p>
            <w:pPr>
              <w:spacing w:line="24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highlight w:val="none"/>
              </w:rPr>
            </w:pPr>
          </w:p>
        </w:tc>
        <w:tc>
          <w:tcPr>
            <w:tcW w:w="1347" w:type="dxa"/>
            <w:vAlign w:val="center"/>
          </w:tcPr>
          <w:p>
            <w:pPr>
              <w:spacing w:line="240" w:lineRule="auto"/>
              <w:jc w:val="center"/>
              <w:rPr>
                <w:rFonts w:hint="eastAsia"/>
                <w:sz w:val="24"/>
                <w:highlight w:val="none"/>
              </w:rPr>
            </w:pPr>
          </w:p>
        </w:tc>
        <w:tc>
          <w:tcPr>
            <w:tcW w:w="1417" w:type="dxa"/>
            <w:vAlign w:val="center"/>
          </w:tcPr>
          <w:p>
            <w:pPr>
              <w:spacing w:line="240" w:lineRule="auto"/>
              <w:jc w:val="center"/>
              <w:rPr>
                <w:rFonts w:hint="eastAsia"/>
                <w:sz w:val="24"/>
                <w:highlight w:val="none"/>
              </w:rPr>
            </w:pPr>
          </w:p>
        </w:tc>
        <w:tc>
          <w:tcPr>
            <w:tcW w:w="851" w:type="dxa"/>
            <w:vAlign w:val="center"/>
          </w:tcPr>
          <w:p>
            <w:pPr>
              <w:spacing w:line="240" w:lineRule="auto"/>
              <w:jc w:val="center"/>
              <w:rPr>
                <w:rFonts w:hint="eastAsia"/>
                <w:sz w:val="24"/>
                <w:highlight w:val="none"/>
              </w:rPr>
            </w:pPr>
          </w:p>
        </w:tc>
        <w:tc>
          <w:tcPr>
            <w:tcW w:w="992" w:type="dxa"/>
            <w:vAlign w:val="center"/>
          </w:tcPr>
          <w:p>
            <w:pPr>
              <w:spacing w:line="240" w:lineRule="auto"/>
              <w:jc w:val="center"/>
              <w:rPr>
                <w:rFonts w:hint="eastAsia"/>
                <w:sz w:val="24"/>
                <w:highlight w:val="none"/>
              </w:rPr>
            </w:pPr>
          </w:p>
        </w:tc>
        <w:tc>
          <w:tcPr>
            <w:tcW w:w="709" w:type="dxa"/>
            <w:vAlign w:val="center"/>
          </w:tcPr>
          <w:p>
            <w:pPr>
              <w:spacing w:line="240" w:lineRule="auto"/>
              <w:jc w:val="center"/>
              <w:rPr>
                <w:rFonts w:hint="eastAsia"/>
                <w:sz w:val="24"/>
                <w:highlight w:val="none"/>
              </w:rPr>
            </w:pPr>
          </w:p>
        </w:tc>
        <w:tc>
          <w:tcPr>
            <w:tcW w:w="737" w:type="dxa"/>
            <w:vAlign w:val="center"/>
          </w:tcPr>
          <w:p>
            <w:pPr>
              <w:spacing w:line="240" w:lineRule="auto"/>
              <w:jc w:val="center"/>
              <w:rPr>
                <w:rFonts w:hint="eastAsia"/>
                <w:sz w:val="24"/>
                <w:highlight w:val="none"/>
              </w:rPr>
            </w:pPr>
          </w:p>
        </w:tc>
        <w:tc>
          <w:tcPr>
            <w:tcW w:w="1057" w:type="dxa"/>
            <w:vAlign w:val="center"/>
          </w:tcPr>
          <w:p>
            <w:pPr>
              <w:spacing w:line="240" w:lineRule="auto"/>
              <w:jc w:val="center"/>
              <w:rPr>
                <w:rFonts w:hint="eastAsia"/>
                <w:sz w:val="24"/>
                <w:highlight w:val="none"/>
              </w:rPr>
            </w:pPr>
          </w:p>
        </w:tc>
        <w:tc>
          <w:tcPr>
            <w:tcW w:w="1276" w:type="dxa"/>
            <w:vAlign w:val="center"/>
          </w:tcPr>
          <w:p>
            <w:pPr>
              <w:spacing w:line="240" w:lineRule="auto"/>
              <w:jc w:val="center"/>
              <w:rPr>
                <w:rFonts w:hint="eastAsia"/>
                <w:sz w:val="24"/>
                <w:highlight w:val="none"/>
              </w:rPr>
            </w:pPr>
          </w:p>
        </w:tc>
        <w:tc>
          <w:tcPr>
            <w:tcW w:w="1082" w:type="dxa"/>
            <w:vAlign w:val="center"/>
          </w:tcPr>
          <w:p>
            <w:pPr>
              <w:spacing w:line="24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rFonts w:hint="eastAsia"/>
                <w:sz w:val="24"/>
                <w:highlight w:val="none"/>
              </w:rPr>
            </w:pPr>
          </w:p>
        </w:tc>
        <w:tc>
          <w:tcPr>
            <w:tcW w:w="1347" w:type="dxa"/>
            <w:vAlign w:val="center"/>
          </w:tcPr>
          <w:p>
            <w:pPr>
              <w:spacing w:line="240" w:lineRule="auto"/>
              <w:jc w:val="center"/>
              <w:rPr>
                <w:rFonts w:hint="eastAsia"/>
                <w:sz w:val="24"/>
                <w:highlight w:val="none"/>
              </w:rPr>
            </w:pPr>
          </w:p>
        </w:tc>
        <w:tc>
          <w:tcPr>
            <w:tcW w:w="1417" w:type="dxa"/>
            <w:vAlign w:val="center"/>
          </w:tcPr>
          <w:p>
            <w:pPr>
              <w:spacing w:line="240" w:lineRule="auto"/>
              <w:jc w:val="center"/>
              <w:rPr>
                <w:rFonts w:hint="eastAsia"/>
                <w:sz w:val="24"/>
                <w:highlight w:val="none"/>
              </w:rPr>
            </w:pPr>
          </w:p>
        </w:tc>
        <w:tc>
          <w:tcPr>
            <w:tcW w:w="851" w:type="dxa"/>
            <w:vAlign w:val="center"/>
          </w:tcPr>
          <w:p>
            <w:pPr>
              <w:spacing w:line="240" w:lineRule="auto"/>
              <w:jc w:val="center"/>
              <w:rPr>
                <w:rFonts w:hint="eastAsia"/>
                <w:sz w:val="24"/>
                <w:highlight w:val="none"/>
              </w:rPr>
            </w:pPr>
          </w:p>
        </w:tc>
        <w:tc>
          <w:tcPr>
            <w:tcW w:w="992" w:type="dxa"/>
            <w:vAlign w:val="center"/>
          </w:tcPr>
          <w:p>
            <w:pPr>
              <w:spacing w:line="240" w:lineRule="auto"/>
              <w:jc w:val="center"/>
              <w:rPr>
                <w:rFonts w:hint="eastAsia"/>
                <w:sz w:val="24"/>
                <w:highlight w:val="none"/>
              </w:rPr>
            </w:pPr>
          </w:p>
        </w:tc>
        <w:tc>
          <w:tcPr>
            <w:tcW w:w="709" w:type="dxa"/>
            <w:vAlign w:val="center"/>
          </w:tcPr>
          <w:p>
            <w:pPr>
              <w:spacing w:line="240" w:lineRule="auto"/>
              <w:jc w:val="center"/>
              <w:rPr>
                <w:rFonts w:hint="eastAsia"/>
                <w:sz w:val="24"/>
                <w:highlight w:val="none"/>
              </w:rPr>
            </w:pPr>
          </w:p>
        </w:tc>
        <w:tc>
          <w:tcPr>
            <w:tcW w:w="737" w:type="dxa"/>
            <w:vAlign w:val="center"/>
          </w:tcPr>
          <w:p>
            <w:pPr>
              <w:spacing w:line="240" w:lineRule="auto"/>
              <w:jc w:val="center"/>
              <w:rPr>
                <w:rFonts w:hint="eastAsia"/>
                <w:sz w:val="24"/>
                <w:highlight w:val="none"/>
              </w:rPr>
            </w:pPr>
          </w:p>
        </w:tc>
        <w:tc>
          <w:tcPr>
            <w:tcW w:w="1057" w:type="dxa"/>
            <w:vAlign w:val="center"/>
          </w:tcPr>
          <w:p>
            <w:pPr>
              <w:spacing w:line="240" w:lineRule="auto"/>
              <w:jc w:val="center"/>
              <w:rPr>
                <w:rFonts w:hint="eastAsia"/>
                <w:sz w:val="24"/>
                <w:highlight w:val="none"/>
              </w:rPr>
            </w:pPr>
          </w:p>
        </w:tc>
        <w:tc>
          <w:tcPr>
            <w:tcW w:w="1276" w:type="dxa"/>
            <w:vAlign w:val="center"/>
          </w:tcPr>
          <w:p>
            <w:pPr>
              <w:spacing w:line="240" w:lineRule="auto"/>
              <w:jc w:val="center"/>
              <w:rPr>
                <w:rFonts w:hint="eastAsia"/>
                <w:sz w:val="24"/>
                <w:highlight w:val="none"/>
              </w:rPr>
            </w:pPr>
          </w:p>
        </w:tc>
        <w:tc>
          <w:tcPr>
            <w:tcW w:w="1082" w:type="dxa"/>
            <w:vAlign w:val="center"/>
          </w:tcPr>
          <w:p>
            <w:pPr>
              <w:spacing w:line="240" w:lineRule="auto"/>
              <w:jc w:val="cente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8"/>
            <w:vAlign w:val="center"/>
          </w:tcPr>
          <w:p>
            <w:pPr>
              <w:spacing w:line="240" w:lineRule="auto"/>
              <w:jc w:val="left"/>
              <w:rPr>
                <w:rFonts w:hint="eastAsia"/>
                <w:sz w:val="24"/>
                <w:highlight w:val="none"/>
              </w:rPr>
            </w:pPr>
            <w:r>
              <w:rPr>
                <w:rFonts w:hint="eastAsia"/>
                <w:sz w:val="24"/>
                <w:highlight w:val="none"/>
              </w:rPr>
              <w:t>合计（即：投标总价；币种：人民币；单位：元）：大写：</w:t>
            </w:r>
          </w:p>
        </w:tc>
        <w:tc>
          <w:tcPr>
            <w:tcW w:w="1276" w:type="dxa"/>
            <w:vAlign w:val="center"/>
          </w:tcPr>
          <w:p>
            <w:pPr>
              <w:spacing w:line="240" w:lineRule="auto"/>
              <w:jc w:val="center"/>
              <w:rPr>
                <w:rFonts w:hint="eastAsia"/>
                <w:sz w:val="24"/>
                <w:highlight w:val="none"/>
              </w:rPr>
            </w:pPr>
          </w:p>
        </w:tc>
        <w:tc>
          <w:tcPr>
            <w:tcW w:w="1082" w:type="dxa"/>
            <w:vAlign w:val="center"/>
          </w:tcPr>
          <w:p>
            <w:pPr>
              <w:spacing w:line="240" w:lineRule="auto"/>
              <w:jc w:val="center"/>
              <w:rPr>
                <w:rFonts w:hint="eastAsia"/>
                <w:sz w:val="24"/>
                <w:highlight w:val="none"/>
              </w:rPr>
            </w:pPr>
          </w:p>
        </w:tc>
      </w:tr>
    </w:tbl>
    <w:p>
      <w:pPr>
        <w:spacing w:line="240" w:lineRule="auto"/>
        <w:rPr>
          <w:rFonts w:hint="eastAsia"/>
          <w:b/>
          <w:sz w:val="24"/>
          <w:highlight w:val="none"/>
        </w:rPr>
      </w:pPr>
    </w:p>
    <w:p>
      <w:pPr>
        <w:spacing w:line="240" w:lineRule="auto"/>
        <w:rPr>
          <w:rFonts w:hint="eastAsia"/>
          <w:b/>
          <w:sz w:val="24"/>
          <w:highlight w:val="none"/>
        </w:rPr>
      </w:pPr>
      <w:r>
        <w:rPr>
          <w:rFonts w:hint="eastAsia"/>
          <w:b/>
          <w:sz w:val="24"/>
          <w:highlight w:val="none"/>
        </w:rPr>
        <w:t>备注：</w:t>
      </w:r>
    </w:p>
    <w:p>
      <w:pPr>
        <w:spacing w:line="240" w:lineRule="auto"/>
        <w:ind w:firstLine="424" w:firstLineChars="176"/>
        <w:rPr>
          <w:rFonts w:hint="eastAsia"/>
          <w:b/>
          <w:sz w:val="24"/>
          <w:highlight w:val="none"/>
        </w:rPr>
      </w:pPr>
      <w:r>
        <w:rPr>
          <w:rFonts w:hint="eastAsia"/>
          <w:b/>
          <w:sz w:val="24"/>
          <w:highlight w:val="none"/>
        </w:rPr>
        <w:t>1.请根据“第二章</w:t>
      </w:r>
      <w:r>
        <w:rPr>
          <w:b/>
          <w:sz w:val="24"/>
          <w:highlight w:val="none"/>
        </w:rPr>
        <w:t xml:space="preserve"> 项目需求” “</w:t>
      </w:r>
      <w:r>
        <w:rPr>
          <w:rFonts w:hint="eastAsia"/>
          <w:b/>
          <w:sz w:val="24"/>
          <w:highlight w:val="none"/>
        </w:rPr>
        <w:t>一</w:t>
      </w:r>
      <w:r>
        <w:rPr>
          <w:b/>
          <w:sz w:val="24"/>
          <w:highlight w:val="none"/>
        </w:rPr>
        <w:t>、货物清单</w:t>
      </w:r>
      <w:r>
        <w:rPr>
          <w:rFonts w:hint="eastAsia"/>
          <w:b/>
          <w:sz w:val="24"/>
          <w:highlight w:val="none"/>
        </w:rPr>
        <w:t>一览表</w:t>
      </w:r>
      <w:r>
        <w:rPr>
          <w:b/>
          <w:sz w:val="24"/>
          <w:highlight w:val="none"/>
        </w:rPr>
        <w:t>”填写；本表格式不得修改。</w:t>
      </w:r>
    </w:p>
    <w:p>
      <w:pPr>
        <w:spacing w:line="240" w:lineRule="auto"/>
        <w:ind w:firstLine="424" w:firstLineChars="176"/>
        <w:rPr>
          <w:rFonts w:hint="eastAsia"/>
          <w:b/>
          <w:sz w:val="24"/>
          <w:highlight w:val="none"/>
        </w:rPr>
      </w:pPr>
      <w:r>
        <w:rPr>
          <w:rFonts w:hint="eastAsia"/>
          <w:b/>
          <w:sz w:val="24"/>
          <w:highlight w:val="none"/>
        </w:rPr>
        <w:t>2</w:t>
      </w:r>
      <w:r>
        <w:rPr>
          <w:b/>
          <w:sz w:val="24"/>
          <w:highlight w:val="none"/>
        </w:rPr>
        <w:t>.</w:t>
      </w:r>
      <w:r>
        <w:rPr>
          <w:rFonts w:hint="eastAsia"/>
          <w:b/>
          <w:sz w:val="24"/>
          <w:highlight w:val="none"/>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rFonts w:hint="eastAsia"/>
          <w:b/>
          <w:sz w:val="24"/>
          <w:highlight w:val="none"/>
        </w:rPr>
      </w:pPr>
      <w:r>
        <w:rPr>
          <w:rFonts w:hint="eastAsia"/>
          <w:b/>
          <w:sz w:val="24"/>
          <w:highlight w:val="none"/>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rFonts w:hint="eastAsia"/>
          <w:b/>
          <w:sz w:val="24"/>
          <w:highlight w:val="none"/>
        </w:rPr>
      </w:pPr>
      <w:r>
        <w:rPr>
          <w:rFonts w:hint="eastAsia"/>
          <w:b/>
          <w:sz w:val="24"/>
          <w:highlight w:val="none"/>
        </w:rPr>
        <w:t>4.“原产地”是指该产品的实际生产加工地，而非品牌总公司所在地。</w:t>
      </w:r>
    </w:p>
    <w:p>
      <w:pPr>
        <w:spacing w:line="240" w:lineRule="auto"/>
        <w:ind w:firstLine="424" w:firstLineChars="176"/>
        <w:rPr>
          <w:rFonts w:hint="eastAsia"/>
          <w:b/>
          <w:sz w:val="24"/>
          <w:highlight w:val="none"/>
        </w:rPr>
      </w:pPr>
      <w:r>
        <w:rPr>
          <w:b/>
          <w:sz w:val="24"/>
          <w:highlight w:val="none"/>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rFonts w:hint="eastAsia"/>
          <w:b/>
          <w:sz w:val="24"/>
          <w:highlight w:val="none"/>
        </w:rPr>
      </w:pPr>
      <w:r>
        <w:rPr>
          <w:b/>
          <w:sz w:val="24"/>
          <w:highlight w:val="none"/>
        </w:rPr>
        <w:t>6.</w:t>
      </w:r>
      <w:r>
        <w:rPr>
          <w:rFonts w:hint="eastAsia"/>
          <w:b/>
          <w:sz w:val="24"/>
          <w:highlight w:val="none"/>
        </w:rPr>
        <w:t>上述报价最多保留两位小数。</w:t>
      </w:r>
    </w:p>
    <w:p>
      <w:pPr>
        <w:widowControl w:val="0"/>
        <w:shd w:val="clear" w:color="auto" w:fill="auto"/>
        <w:tabs>
          <w:tab w:val="clear" w:pos="426"/>
        </w:tabs>
        <w:adjustRightInd/>
        <w:snapToGrid/>
        <w:spacing w:line="300" w:lineRule="auto"/>
        <w:jc w:val="center"/>
        <w:rPr>
          <w:rFonts w:hint="eastAsia" w:cs="Times New Roman"/>
          <w:b/>
          <w:bCs/>
          <w:kern w:val="2"/>
          <w:sz w:val="28"/>
          <w:szCs w:val="28"/>
          <w:highlight w:val="none"/>
        </w:rPr>
      </w:pPr>
    </w:p>
    <w:p>
      <w:pPr>
        <w:widowControl w:val="0"/>
        <w:shd w:val="clear" w:color="auto" w:fill="auto"/>
        <w:tabs>
          <w:tab w:val="clear" w:pos="426"/>
        </w:tabs>
        <w:adjustRightInd/>
        <w:snapToGrid/>
        <w:spacing w:line="300" w:lineRule="auto"/>
        <w:jc w:val="center"/>
        <w:rPr>
          <w:rFonts w:hint="eastAsia" w:cs="Times New Roman"/>
          <w:b/>
          <w:bCs/>
          <w:kern w:val="2"/>
          <w:sz w:val="28"/>
          <w:szCs w:val="28"/>
          <w:highlight w:val="none"/>
        </w:rPr>
      </w:pPr>
      <w:r>
        <w:rPr>
          <w:rFonts w:hint="eastAsia" w:cs="Times New Roman"/>
          <w:b/>
          <w:bCs/>
          <w:kern w:val="2"/>
          <w:sz w:val="28"/>
          <w:szCs w:val="28"/>
          <w:highlight w:val="none"/>
        </w:rPr>
        <w:t>（二）可选配件报价清单（不包括在总报价内）</w:t>
      </w:r>
    </w:p>
    <w:p>
      <w:pPr>
        <w:tabs>
          <w:tab w:val="clear" w:pos="426"/>
        </w:tabs>
        <w:spacing w:line="500" w:lineRule="exact"/>
        <w:rPr>
          <w:rFonts w:hint="eastAsia"/>
          <w:b/>
          <w:sz w:val="24"/>
          <w:highlight w:val="none"/>
        </w:rPr>
      </w:pPr>
      <w:r>
        <w:rPr>
          <w:rFonts w:hint="eastAsia"/>
          <w:b/>
          <w:sz w:val="24"/>
          <w:highlight w:val="none"/>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hint="eastAsia" w:cs="Times New Roman"/>
          <w:b/>
          <w:bCs/>
          <w:kern w:val="2"/>
          <w:sz w:val="32"/>
          <w:szCs w:val="32"/>
          <w:highlight w:val="none"/>
        </w:rPr>
      </w:pPr>
    </w:p>
    <w:p>
      <w:pPr>
        <w:widowControl w:val="0"/>
        <w:shd w:val="clear" w:color="auto" w:fill="auto"/>
        <w:tabs>
          <w:tab w:val="clear" w:pos="426"/>
        </w:tabs>
        <w:adjustRightInd/>
        <w:snapToGrid/>
        <w:spacing w:line="300" w:lineRule="auto"/>
        <w:jc w:val="center"/>
        <w:rPr>
          <w:rFonts w:hint="eastAsia" w:cs="Times New Roman"/>
          <w:b/>
          <w:bCs/>
          <w:kern w:val="2"/>
          <w:sz w:val="28"/>
          <w:szCs w:val="28"/>
          <w:highlight w:val="none"/>
        </w:rPr>
      </w:pPr>
      <w:r>
        <w:rPr>
          <w:rFonts w:hint="eastAsia" w:cs="Times New Roman"/>
          <w:b/>
          <w:bCs/>
          <w:kern w:val="2"/>
          <w:sz w:val="28"/>
          <w:szCs w:val="28"/>
          <w:highlight w:val="none"/>
        </w:rPr>
        <w:t>（三）供应商认为需要涉及的其他内容报价清单</w:t>
      </w:r>
    </w:p>
    <w:p>
      <w:pPr>
        <w:tabs>
          <w:tab w:val="clear" w:pos="426"/>
        </w:tabs>
        <w:spacing w:line="500" w:lineRule="exact"/>
        <w:rPr>
          <w:rFonts w:hint="eastAsia"/>
          <w:spacing w:val="4"/>
          <w:highlight w:val="none"/>
        </w:rPr>
      </w:pPr>
    </w:p>
    <w:p>
      <w:pPr>
        <w:tabs>
          <w:tab w:val="clear" w:pos="426"/>
        </w:tabs>
        <w:spacing w:line="500" w:lineRule="exact"/>
        <w:rPr>
          <w:rFonts w:hint="eastAsia"/>
          <w:spacing w:val="4"/>
          <w:highlight w:val="none"/>
        </w:rPr>
      </w:pPr>
    </w:p>
    <w:p>
      <w:pPr>
        <w:tabs>
          <w:tab w:val="clear" w:pos="426"/>
        </w:tabs>
        <w:spacing w:line="500" w:lineRule="exact"/>
        <w:rPr>
          <w:rFonts w:hint="eastAsia"/>
          <w:highlight w:val="none"/>
          <w:u w:val="single"/>
        </w:rPr>
      </w:pPr>
      <w:r>
        <w:rPr>
          <w:rFonts w:hint="eastAsia"/>
          <w:spacing w:val="4"/>
          <w:highlight w:val="none"/>
        </w:rPr>
        <w:t>投标人名称（</w:t>
      </w:r>
      <w:r>
        <w:rPr>
          <w:rFonts w:hint="eastAsia"/>
          <w:highlight w:val="none"/>
        </w:rPr>
        <w:t>单位盖</w:t>
      </w:r>
      <w:r>
        <w:rPr>
          <w:rFonts w:hint="eastAsia"/>
          <w:spacing w:val="4"/>
          <w:highlight w:val="none"/>
        </w:rPr>
        <w:t>公章）：</w:t>
      </w:r>
      <w:r>
        <w:rPr>
          <w:rFonts w:hint="eastAsia"/>
          <w:spacing w:val="4"/>
          <w:highlight w:val="none"/>
          <w:u w:val="single"/>
        </w:rPr>
        <w:t>__________________________________________________________</w:t>
      </w:r>
    </w:p>
    <w:p>
      <w:pPr>
        <w:tabs>
          <w:tab w:val="clear" w:pos="426"/>
        </w:tabs>
        <w:spacing w:line="520" w:lineRule="exact"/>
        <w:rPr>
          <w:rFonts w:hint="eastAsia"/>
          <w:spacing w:val="4"/>
          <w:highlight w:val="none"/>
          <w:u w:val="single"/>
        </w:rPr>
      </w:pPr>
      <w:r>
        <w:rPr>
          <w:rFonts w:hint="eastAsia"/>
          <w:highlight w:val="none"/>
        </w:rPr>
        <w:t>法定代表人或投标人授权代表（签字或盖章）：</w:t>
      </w:r>
      <w:r>
        <w:rPr>
          <w:spacing w:val="4"/>
          <w:highlight w:val="none"/>
          <w:u w:val="single"/>
        </w:rPr>
        <w:t>__________</w:t>
      </w:r>
      <w:r>
        <w:rPr>
          <w:rFonts w:hint="eastAsia"/>
          <w:spacing w:val="4"/>
          <w:highlight w:val="none"/>
          <w:u w:val="single"/>
        </w:rPr>
        <w:t>_</w:t>
      </w:r>
      <w:r>
        <w:rPr>
          <w:spacing w:val="4"/>
          <w:highlight w:val="none"/>
          <w:u w:val="single"/>
        </w:rPr>
        <w:t>___</w:t>
      </w:r>
      <w:r>
        <w:rPr>
          <w:rFonts w:hint="eastAsia"/>
          <w:spacing w:val="4"/>
          <w:highlight w:val="none"/>
        </w:rPr>
        <w:t>职务：</w:t>
      </w:r>
      <w:r>
        <w:rPr>
          <w:spacing w:val="4"/>
          <w:highlight w:val="none"/>
          <w:u w:val="single"/>
        </w:rPr>
        <w:t>________</w:t>
      </w:r>
      <w:r>
        <w:rPr>
          <w:rFonts w:hint="eastAsia"/>
          <w:spacing w:val="4"/>
          <w:highlight w:val="none"/>
        </w:rPr>
        <w:t>日期：</w:t>
      </w:r>
      <w:r>
        <w:rPr>
          <w:spacing w:val="4"/>
          <w:highlight w:val="none"/>
          <w:u w:val="single"/>
        </w:rPr>
        <w:t>_________</w:t>
      </w:r>
    </w:p>
    <w:p>
      <w:pPr>
        <w:rPr>
          <w:rFonts w:hint="eastAsia"/>
          <w:b/>
          <w:sz w:val="24"/>
          <w:highlight w:val="none"/>
        </w:rPr>
      </w:pPr>
      <w:r>
        <w:rPr>
          <w:rFonts w:hint="eastAsia"/>
          <w:b/>
          <w:sz w:val="24"/>
          <w:highlight w:val="none"/>
        </w:rPr>
        <w:br w:type="page"/>
      </w:r>
    </w:p>
    <w:p>
      <w:pPr>
        <w:adjustRightInd/>
        <w:snapToGrid/>
        <w:spacing w:before="280" w:after="290" w:line="377" w:lineRule="auto"/>
        <w:outlineLvl w:val="2"/>
        <w:rPr>
          <w:rFonts w:hint="eastAsia"/>
          <w:b/>
          <w:sz w:val="24"/>
          <w:highlight w:val="none"/>
        </w:rPr>
      </w:pPr>
      <w:bookmarkStart w:id="126" w:name="_Toc9437"/>
      <w:r>
        <w:rPr>
          <w:rFonts w:hint="eastAsia"/>
          <w:b/>
          <w:sz w:val="24"/>
          <w:highlight w:val="none"/>
        </w:rPr>
        <w:t>格式9：</w:t>
      </w:r>
      <w:bookmarkEnd w:id="126"/>
      <w:r>
        <w:rPr>
          <w:rFonts w:hint="eastAsia"/>
          <w:b/>
          <w:sz w:val="24"/>
          <w:highlight w:val="none"/>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highlight w:val="none"/>
        </w:rPr>
      </w:pPr>
      <w:bookmarkStart w:id="127" w:name="OLE_LINK1"/>
      <w:r>
        <w:rPr>
          <w:rFonts w:hint="eastAsia" w:ascii="Times New Roman" w:hAnsi="Times New Roman" w:cs="Times New Roman"/>
          <w:bCs/>
          <w:kern w:val="2"/>
          <w:sz w:val="32"/>
          <w:szCs w:val="32"/>
          <w:highlight w:val="none"/>
        </w:rPr>
        <w:t>技术规格偏离表</w:t>
      </w:r>
    </w:p>
    <w:bookmarkEnd w:id="127"/>
    <w:p>
      <w:pPr>
        <w:tabs>
          <w:tab w:val="clear" w:pos="426"/>
        </w:tabs>
        <w:rPr>
          <w:rFonts w:ascii="Times New Roman" w:hAnsi="Times New Roman" w:cs="Times New Roman"/>
          <w:highlight w:val="none"/>
        </w:rPr>
      </w:pPr>
    </w:p>
    <w:p>
      <w:pPr>
        <w:tabs>
          <w:tab w:val="clear" w:pos="426"/>
        </w:tabs>
        <w:rPr>
          <w:rFonts w:ascii="Times New Roman" w:hAnsi="Times New Roman" w:cs="Times New Roman"/>
          <w:highlight w:val="none"/>
        </w:rPr>
      </w:pPr>
      <w:bookmarkStart w:id="128" w:name="_Hlk66188946"/>
      <w:r>
        <w:rPr>
          <w:rFonts w:ascii="Times New Roman" w:hAnsi="Times New Roman" w:cs="Times New Roman"/>
          <w:highlight w:val="none"/>
        </w:rPr>
        <w:t>项目名称：</w:t>
      </w:r>
      <w:r>
        <w:rPr>
          <w:rFonts w:ascii="Times New Roman" w:hAnsi="Times New Roman" w:cs="Times New Roman"/>
          <w:highlight w:val="none"/>
          <w:u w:val="single"/>
        </w:rPr>
        <w:t>_____________________________________</w:t>
      </w:r>
      <w:r>
        <w:rPr>
          <w:rFonts w:ascii="Times New Roman" w:hAnsi="Times New Roman" w:cs="Times New Roman"/>
          <w:highlight w:val="none"/>
        </w:rPr>
        <w:t>项目编号：</w:t>
      </w:r>
      <w:r>
        <w:rPr>
          <w:rFonts w:ascii="Times New Roman" w:hAnsi="Times New Roman" w:cs="Times New Roman"/>
          <w:sz w:val="18"/>
          <w:szCs w:val="18"/>
          <w:highlight w:val="none"/>
          <w:u w:val="single"/>
        </w:rPr>
        <w:t>_______________________</w:t>
      </w:r>
    </w:p>
    <w:bookmarkEnd w:id="128"/>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序号</w:t>
            </w:r>
          </w:p>
        </w:tc>
        <w:tc>
          <w:tcPr>
            <w:tcW w:w="1101"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货物名称</w:t>
            </w:r>
          </w:p>
        </w:tc>
        <w:tc>
          <w:tcPr>
            <w:tcW w:w="935"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招标技术要求</w:t>
            </w:r>
          </w:p>
        </w:tc>
        <w:tc>
          <w:tcPr>
            <w:tcW w:w="955"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投标技术响应</w:t>
            </w:r>
          </w:p>
        </w:tc>
        <w:tc>
          <w:tcPr>
            <w:tcW w:w="728"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偏离情况</w:t>
            </w:r>
          </w:p>
        </w:tc>
        <w:tc>
          <w:tcPr>
            <w:tcW w:w="903" w:type="pct"/>
            <w:vAlign w:val="center"/>
          </w:tcPr>
          <w:p>
            <w:pPr>
              <w:tabs>
                <w:tab w:val="clear" w:pos="426"/>
              </w:tabs>
              <w:spacing w:line="240" w:lineRule="auto"/>
              <w:jc w:val="center"/>
              <w:rPr>
                <w:rFonts w:ascii="Times New Roman" w:hAnsi="Times New Roman" w:cs="Times New Roman"/>
                <w:bCs/>
                <w:highlight w:val="none"/>
              </w:rPr>
            </w:pPr>
            <w:r>
              <w:rPr>
                <w:rFonts w:ascii="Times New Roman" w:hAnsi="Times New Roman" w:cs="Times New Roman"/>
                <w:bCs/>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highlight w:val="none"/>
              </w:rPr>
            </w:pPr>
            <w:r>
              <w:rPr>
                <w:rFonts w:cs="Arial"/>
                <w:bCs/>
                <w:szCs w:val="21"/>
                <w:highlight w:val="none"/>
              </w:rPr>
              <w:t>1</w:t>
            </w:r>
          </w:p>
        </w:tc>
        <w:tc>
          <w:tcPr>
            <w:tcW w:w="1101" w:type="pct"/>
            <w:vAlign w:val="center"/>
          </w:tcPr>
          <w:p>
            <w:pPr>
              <w:tabs>
                <w:tab w:val="clear" w:pos="426"/>
              </w:tabs>
              <w:spacing w:line="240" w:lineRule="auto"/>
              <w:jc w:val="center"/>
              <w:rPr>
                <w:rFonts w:ascii="Times New Roman" w:hAnsi="Times New Roman" w:cs="Times New Roman"/>
                <w:bCs/>
                <w:highlight w:val="none"/>
              </w:rPr>
            </w:pPr>
          </w:p>
        </w:tc>
        <w:tc>
          <w:tcPr>
            <w:tcW w:w="935" w:type="pct"/>
            <w:vAlign w:val="center"/>
          </w:tcPr>
          <w:p>
            <w:pPr>
              <w:tabs>
                <w:tab w:val="clear" w:pos="426"/>
              </w:tabs>
              <w:spacing w:line="240" w:lineRule="auto"/>
              <w:jc w:val="center"/>
              <w:rPr>
                <w:rFonts w:ascii="Times New Roman" w:hAnsi="Times New Roman" w:cs="Times New Roman"/>
                <w:bCs/>
                <w:highlight w:val="none"/>
              </w:rPr>
            </w:pPr>
          </w:p>
        </w:tc>
        <w:tc>
          <w:tcPr>
            <w:tcW w:w="955" w:type="pct"/>
            <w:vAlign w:val="center"/>
          </w:tcPr>
          <w:p>
            <w:pPr>
              <w:tabs>
                <w:tab w:val="clear" w:pos="426"/>
              </w:tabs>
              <w:spacing w:line="240" w:lineRule="auto"/>
              <w:jc w:val="center"/>
              <w:rPr>
                <w:rFonts w:ascii="Times New Roman" w:hAnsi="Times New Roman" w:cs="Times New Roman"/>
                <w:bCs/>
                <w:highlight w:val="none"/>
              </w:rPr>
            </w:pPr>
          </w:p>
        </w:tc>
        <w:tc>
          <w:tcPr>
            <w:tcW w:w="728" w:type="pct"/>
            <w:vAlign w:val="center"/>
          </w:tcPr>
          <w:p>
            <w:pPr>
              <w:tabs>
                <w:tab w:val="clear" w:pos="426"/>
              </w:tabs>
              <w:spacing w:line="240" w:lineRule="auto"/>
              <w:jc w:val="center"/>
              <w:rPr>
                <w:rFonts w:ascii="Times New Roman" w:hAnsi="Times New Roman" w:cs="Times New Roman"/>
                <w:bCs/>
                <w:highlight w:val="none"/>
              </w:rPr>
            </w:pPr>
          </w:p>
        </w:tc>
        <w:tc>
          <w:tcPr>
            <w:tcW w:w="903"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highlight w:val="none"/>
              </w:rPr>
            </w:pPr>
            <w:r>
              <w:rPr>
                <w:rFonts w:cs="Arial"/>
                <w:bCs/>
                <w:szCs w:val="21"/>
                <w:highlight w:val="none"/>
              </w:rPr>
              <w:t>2</w:t>
            </w:r>
          </w:p>
        </w:tc>
        <w:tc>
          <w:tcPr>
            <w:tcW w:w="1101" w:type="pct"/>
            <w:vAlign w:val="center"/>
          </w:tcPr>
          <w:p>
            <w:pPr>
              <w:tabs>
                <w:tab w:val="clear" w:pos="426"/>
              </w:tabs>
              <w:spacing w:line="240" w:lineRule="auto"/>
              <w:jc w:val="center"/>
              <w:rPr>
                <w:rFonts w:ascii="Times New Roman" w:hAnsi="Times New Roman" w:cs="Times New Roman"/>
                <w:bCs/>
                <w:highlight w:val="none"/>
              </w:rPr>
            </w:pPr>
          </w:p>
        </w:tc>
        <w:tc>
          <w:tcPr>
            <w:tcW w:w="935" w:type="pct"/>
            <w:vAlign w:val="center"/>
          </w:tcPr>
          <w:p>
            <w:pPr>
              <w:tabs>
                <w:tab w:val="clear" w:pos="426"/>
              </w:tabs>
              <w:spacing w:line="240" w:lineRule="auto"/>
              <w:jc w:val="center"/>
              <w:rPr>
                <w:rFonts w:ascii="Times New Roman" w:hAnsi="Times New Roman" w:cs="Times New Roman"/>
                <w:bCs/>
                <w:highlight w:val="none"/>
              </w:rPr>
            </w:pPr>
          </w:p>
        </w:tc>
        <w:tc>
          <w:tcPr>
            <w:tcW w:w="955" w:type="pct"/>
            <w:vAlign w:val="center"/>
          </w:tcPr>
          <w:p>
            <w:pPr>
              <w:tabs>
                <w:tab w:val="clear" w:pos="426"/>
              </w:tabs>
              <w:spacing w:line="240" w:lineRule="auto"/>
              <w:jc w:val="center"/>
              <w:rPr>
                <w:rFonts w:ascii="Times New Roman" w:hAnsi="Times New Roman" w:cs="Times New Roman"/>
                <w:bCs/>
                <w:highlight w:val="none"/>
              </w:rPr>
            </w:pPr>
          </w:p>
        </w:tc>
        <w:tc>
          <w:tcPr>
            <w:tcW w:w="728" w:type="pct"/>
            <w:vAlign w:val="center"/>
          </w:tcPr>
          <w:p>
            <w:pPr>
              <w:tabs>
                <w:tab w:val="clear" w:pos="426"/>
              </w:tabs>
              <w:spacing w:line="240" w:lineRule="auto"/>
              <w:jc w:val="center"/>
              <w:rPr>
                <w:rFonts w:ascii="Times New Roman" w:hAnsi="Times New Roman" w:cs="Times New Roman"/>
                <w:bCs/>
                <w:highlight w:val="none"/>
              </w:rPr>
            </w:pPr>
          </w:p>
        </w:tc>
        <w:tc>
          <w:tcPr>
            <w:tcW w:w="903"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highlight w:val="none"/>
              </w:rPr>
            </w:pPr>
            <w:r>
              <w:rPr>
                <w:rFonts w:cs="Arial"/>
                <w:bCs/>
                <w:szCs w:val="21"/>
                <w:highlight w:val="none"/>
              </w:rPr>
              <w:t>3</w:t>
            </w:r>
          </w:p>
        </w:tc>
        <w:tc>
          <w:tcPr>
            <w:tcW w:w="1101" w:type="pct"/>
            <w:vAlign w:val="center"/>
          </w:tcPr>
          <w:p>
            <w:pPr>
              <w:tabs>
                <w:tab w:val="clear" w:pos="426"/>
              </w:tabs>
              <w:spacing w:line="240" w:lineRule="auto"/>
              <w:jc w:val="center"/>
              <w:rPr>
                <w:rFonts w:ascii="Times New Roman" w:hAnsi="Times New Roman" w:cs="Times New Roman"/>
                <w:bCs/>
                <w:highlight w:val="none"/>
              </w:rPr>
            </w:pPr>
          </w:p>
        </w:tc>
        <w:tc>
          <w:tcPr>
            <w:tcW w:w="935" w:type="pct"/>
            <w:vAlign w:val="center"/>
          </w:tcPr>
          <w:p>
            <w:pPr>
              <w:tabs>
                <w:tab w:val="clear" w:pos="426"/>
              </w:tabs>
              <w:spacing w:line="240" w:lineRule="auto"/>
              <w:jc w:val="center"/>
              <w:rPr>
                <w:rFonts w:ascii="Times New Roman" w:hAnsi="Times New Roman" w:cs="Times New Roman"/>
                <w:bCs/>
                <w:highlight w:val="none"/>
              </w:rPr>
            </w:pPr>
          </w:p>
        </w:tc>
        <w:tc>
          <w:tcPr>
            <w:tcW w:w="955" w:type="pct"/>
            <w:vAlign w:val="center"/>
          </w:tcPr>
          <w:p>
            <w:pPr>
              <w:tabs>
                <w:tab w:val="clear" w:pos="426"/>
              </w:tabs>
              <w:spacing w:line="240" w:lineRule="auto"/>
              <w:jc w:val="center"/>
              <w:rPr>
                <w:rFonts w:ascii="Times New Roman" w:hAnsi="Times New Roman" w:cs="Times New Roman"/>
                <w:bCs/>
                <w:highlight w:val="none"/>
              </w:rPr>
            </w:pPr>
          </w:p>
        </w:tc>
        <w:tc>
          <w:tcPr>
            <w:tcW w:w="728" w:type="pct"/>
            <w:vAlign w:val="center"/>
          </w:tcPr>
          <w:p>
            <w:pPr>
              <w:tabs>
                <w:tab w:val="clear" w:pos="426"/>
              </w:tabs>
              <w:spacing w:line="240" w:lineRule="auto"/>
              <w:jc w:val="center"/>
              <w:rPr>
                <w:rFonts w:ascii="Times New Roman" w:hAnsi="Times New Roman" w:cs="Times New Roman"/>
                <w:bCs/>
                <w:highlight w:val="none"/>
              </w:rPr>
            </w:pPr>
          </w:p>
        </w:tc>
        <w:tc>
          <w:tcPr>
            <w:tcW w:w="903" w:type="pct"/>
            <w:vAlign w:val="center"/>
          </w:tcPr>
          <w:p>
            <w:pPr>
              <w:tabs>
                <w:tab w:val="clear" w:pos="426"/>
              </w:tabs>
              <w:spacing w:line="240" w:lineRule="auto"/>
              <w:jc w:val="center"/>
              <w:rPr>
                <w:rFonts w:ascii="Times New Roman" w:hAnsi="Times New Roman" w:cs="Times New Roman"/>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hint="eastAsia" w:cs="Arial"/>
                <w:bCs/>
                <w:szCs w:val="21"/>
                <w:highlight w:val="none"/>
              </w:rPr>
            </w:pPr>
            <w:r>
              <w:rPr>
                <w:rFonts w:hint="eastAsia" w:cs="Arial"/>
                <w:bCs/>
                <w:szCs w:val="21"/>
                <w:highlight w:val="none"/>
              </w:rPr>
              <w:t>……</w:t>
            </w:r>
          </w:p>
        </w:tc>
        <w:tc>
          <w:tcPr>
            <w:tcW w:w="1101" w:type="pct"/>
            <w:vAlign w:val="center"/>
          </w:tcPr>
          <w:p>
            <w:pPr>
              <w:tabs>
                <w:tab w:val="clear" w:pos="426"/>
              </w:tabs>
              <w:spacing w:line="240" w:lineRule="auto"/>
              <w:jc w:val="center"/>
              <w:rPr>
                <w:rFonts w:ascii="Times New Roman" w:hAnsi="Times New Roman" w:cs="Times New Roman"/>
                <w:bCs/>
                <w:highlight w:val="none"/>
              </w:rPr>
            </w:pPr>
          </w:p>
        </w:tc>
        <w:tc>
          <w:tcPr>
            <w:tcW w:w="935" w:type="pct"/>
            <w:vAlign w:val="center"/>
          </w:tcPr>
          <w:p>
            <w:pPr>
              <w:tabs>
                <w:tab w:val="clear" w:pos="426"/>
              </w:tabs>
              <w:spacing w:line="240" w:lineRule="auto"/>
              <w:jc w:val="center"/>
              <w:rPr>
                <w:rFonts w:ascii="Times New Roman" w:hAnsi="Times New Roman" w:cs="Times New Roman"/>
                <w:bCs/>
                <w:highlight w:val="none"/>
              </w:rPr>
            </w:pPr>
          </w:p>
        </w:tc>
        <w:tc>
          <w:tcPr>
            <w:tcW w:w="955" w:type="pct"/>
            <w:vAlign w:val="center"/>
          </w:tcPr>
          <w:p>
            <w:pPr>
              <w:tabs>
                <w:tab w:val="clear" w:pos="426"/>
              </w:tabs>
              <w:spacing w:line="240" w:lineRule="auto"/>
              <w:jc w:val="center"/>
              <w:rPr>
                <w:rFonts w:ascii="Times New Roman" w:hAnsi="Times New Roman" w:cs="Times New Roman"/>
                <w:bCs/>
                <w:highlight w:val="none"/>
              </w:rPr>
            </w:pPr>
          </w:p>
        </w:tc>
        <w:tc>
          <w:tcPr>
            <w:tcW w:w="728" w:type="pct"/>
            <w:vAlign w:val="center"/>
          </w:tcPr>
          <w:p>
            <w:pPr>
              <w:tabs>
                <w:tab w:val="clear" w:pos="426"/>
              </w:tabs>
              <w:spacing w:line="240" w:lineRule="auto"/>
              <w:jc w:val="center"/>
              <w:rPr>
                <w:rFonts w:ascii="Times New Roman" w:hAnsi="Times New Roman" w:cs="Times New Roman"/>
                <w:bCs/>
                <w:highlight w:val="none"/>
              </w:rPr>
            </w:pPr>
          </w:p>
        </w:tc>
        <w:tc>
          <w:tcPr>
            <w:tcW w:w="903" w:type="pct"/>
            <w:vAlign w:val="center"/>
          </w:tcPr>
          <w:p>
            <w:pPr>
              <w:tabs>
                <w:tab w:val="clear" w:pos="426"/>
              </w:tabs>
              <w:spacing w:line="240" w:lineRule="auto"/>
              <w:jc w:val="center"/>
              <w:rPr>
                <w:rFonts w:ascii="Times New Roman" w:hAnsi="Times New Roman" w:cs="Times New Roman"/>
                <w:bCs/>
                <w:highlight w:val="none"/>
              </w:rPr>
            </w:pPr>
          </w:p>
        </w:tc>
      </w:tr>
    </w:tbl>
    <w:p>
      <w:pPr>
        <w:tabs>
          <w:tab w:val="clear" w:pos="426"/>
        </w:tabs>
        <w:spacing w:line="240" w:lineRule="auto"/>
        <w:rPr>
          <w:rFonts w:ascii="Times New Roman" w:hAnsi="Times New Roman" w:cs="Times New Roman"/>
          <w:bCs/>
          <w:highlight w:val="none"/>
        </w:rPr>
      </w:pPr>
    </w:p>
    <w:p>
      <w:pPr>
        <w:tabs>
          <w:tab w:val="clear" w:pos="426"/>
        </w:tabs>
        <w:spacing w:line="240" w:lineRule="auto"/>
        <w:rPr>
          <w:rFonts w:ascii="Times New Roman" w:hAnsi="Times New Roman" w:cs="Times New Roman"/>
          <w:bCs/>
          <w:highlight w:val="none"/>
        </w:rPr>
      </w:pPr>
      <w:r>
        <w:rPr>
          <w:rFonts w:ascii="Times New Roman" w:hAnsi="Times New Roman" w:cs="Times New Roman"/>
          <w:bCs/>
          <w:highlight w:val="none"/>
        </w:rPr>
        <w:t>备注：</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1.“招标技术要求”一栏应填写招标文件第</w:t>
      </w:r>
      <w:r>
        <w:rPr>
          <w:rFonts w:hint="eastAsia" w:ascii="Times New Roman" w:hAnsi="Times New Roman" w:cs="Times New Roman"/>
          <w:bCs/>
          <w:highlight w:val="none"/>
        </w:rPr>
        <w:t>二</w:t>
      </w:r>
      <w:r>
        <w:rPr>
          <w:rFonts w:ascii="Times New Roman" w:hAnsi="Times New Roman" w:cs="Times New Roman"/>
          <w:bCs/>
          <w:highlight w:val="none"/>
        </w:rPr>
        <w:t>章“技术要求”的内容；</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3</w:t>
      </w:r>
      <w:r>
        <w:rPr>
          <w:rFonts w:hint="eastAsia" w:ascii="Times New Roman" w:hAnsi="Times New Roman" w:cs="Times New Roman"/>
          <w:bCs/>
          <w:highlight w:val="none"/>
        </w:rPr>
        <w:t>.</w:t>
      </w:r>
      <w:r>
        <w:rPr>
          <w:rFonts w:ascii="Times New Roman" w:hAnsi="Times New Roman" w:cs="Times New Roman"/>
          <w:bCs/>
          <w:highlight w:val="none"/>
        </w:rPr>
        <w:t>“偏离情况”一栏应如实填写“正偏离”、“负偏离”或“无偏离”。</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4.投标人在《</w:t>
      </w:r>
      <w:r>
        <w:rPr>
          <w:rFonts w:hint="eastAsia" w:ascii="Times New Roman" w:hAnsi="Times New Roman" w:cs="Times New Roman"/>
          <w:bCs/>
          <w:highlight w:val="none"/>
        </w:rPr>
        <w:t>技术规格偏离表</w:t>
      </w:r>
      <w:r>
        <w:rPr>
          <w:rFonts w:ascii="Times New Roman" w:hAnsi="Times New Roman" w:cs="Times New Roman"/>
          <w:bCs/>
          <w:highlight w:val="none"/>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29" w:name="OLE_LINK2"/>
      <w:r>
        <w:rPr>
          <w:rFonts w:hint="eastAsia" w:ascii="Times New Roman" w:hAnsi="Times New Roman" w:cs="Times New Roman"/>
          <w:bCs/>
          <w:highlight w:val="none"/>
        </w:rPr>
        <w:t>带★招标技术要求，不允许有任何负偏离，否则将作投标无效处理。</w:t>
      </w:r>
    </w:p>
    <w:bookmarkEnd w:id="129"/>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6.投标产品的技术参数应按《</w:t>
      </w:r>
      <w:r>
        <w:rPr>
          <w:rFonts w:hint="eastAsia" w:ascii="Times New Roman" w:hAnsi="Times New Roman" w:cs="Times New Roman"/>
          <w:bCs/>
          <w:highlight w:val="none"/>
        </w:rPr>
        <w:t>技术规格偏离表</w:t>
      </w:r>
      <w:r>
        <w:rPr>
          <w:rFonts w:ascii="Times New Roman" w:hAnsi="Times New Roman" w:cs="Times New Roman"/>
          <w:bCs/>
          <w:highlight w:val="none"/>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highlight w:val="none"/>
        </w:rPr>
        <w:t>技术规格偏离表</w:t>
      </w:r>
      <w:r>
        <w:rPr>
          <w:rFonts w:ascii="Times New Roman" w:hAnsi="Times New Roman" w:cs="Times New Roman"/>
          <w:bCs/>
          <w:highlight w:val="none"/>
        </w:rPr>
        <w:t>》中未要求提供相应证明材料的，投标人可以不提供。</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7.证明资料（均为扫描件）的提供要求：</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highlight w:val="none"/>
        </w:rPr>
      </w:pPr>
      <w:r>
        <w:rPr>
          <w:rFonts w:ascii="Times New Roman" w:hAnsi="Times New Roman" w:cs="Times New Roman"/>
          <w:bCs/>
          <w:highlight w:val="none"/>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highlight w:val="none"/>
        </w:rPr>
      </w:pPr>
      <w:r>
        <w:rPr>
          <w:rFonts w:ascii="Times New Roman" w:hAnsi="Times New Roman" w:cs="Times New Roman"/>
          <w:bCs/>
          <w:highlight w:val="none"/>
        </w:rPr>
        <w:br w:type="page"/>
      </w:r>
    </w:p>
    <w:p>
      <w:pPr>
        <w:adjustRightInd/>
        <w:snapToGrid/>
        <w:spacing w:before="280" w:after="290" w:line="377" w:lineRule="auto"/>
        <w:outlineLvl w:val="2"/>
        <w:rPr>
          <w:rFonts w:hint="eastAsia"/>
          <w:b/>
          <w:sz w:val="24"/>
          <w:highlight w:val="none"/>
        </w:rPr>
      </w:pPr>
      <w:bookmarkStart w:id="130" w:name="_Toc25758"/>
      <w:r>
        <w:rPr>
          <w:rFonts w:hint="eastAsia"/>
          <w:b/>
          <w:sz w:val="24"/>
          <w:highlight w:val="none"/>
        </w:rPr>
        <w:t>格式10：技术保障措施</w:t>
      </w:r>
      <w:bookmarkEnd w:id="130"/>
    </w:p>
    <w:p>
      <w:pPr>
        <w:adjustRightInd/>
        <w:snapToGrid/>
        <w:spacing w:before="280" w:after="290" w:line="377" w:lineRule="auto"/>
        <w:outlineLvl w:val="2"/>
        <w:rPr>
          <w:rFonts w:hint="eastAsia"/>
          <w:b/>
          <w:sz w:val="24"/>
          <w:highlight w:val="none"/>
        </w:rPr>
      </w:pPr>
      <w:bookmarkStart w:id="131" w:name="_Toc19609"/>
      <w:r>
        <w:rPr>
          <w:rFonts w:hint="eastAsia"/>
          <w:b/>
          <w:sz w:val="24"/>
          <w:highlight w:val="none"/>
        </w:rPr>
        <w:t>格式11：售后服务方案</w:t>
      </w:r>
      <w:bookmarkEnd w:id="131"/>
    </w:p>
    <w:p>
      <w:pPr>
        <w:tabs>
          <w:tab w:val="clear" w:pos="426"/>
        </w:tabs>
        <w:spacing w:line="440" w:lineRule="exact"/>
        <w:rPr>
          <w:rFonts w:hint="eastAsia"/>
          <w:b/>
          <w:bCs/>
          <w:highlight w:val="none"/>
        </w:rPr>
      </w:pPr>
    </w:p>
    <w:p>
      <w:pPr>
        <w:tabs>
          <w:tab w:val="clear" w:pos="426"/>
        </w:tabs>
        <w:spacing w:line="440" w:lineRule="exact"/>
        <w:rPr>
          <w:rFonts w:hint="eastAsia"/>
          <w:b/>
          <w:szCs w:val="21"/>
          <w:highlight w:val="none"/>
        </w:rPr>
      </w:pPr>
      <w:r>
        <w:rPr>
          <w:rFonts w:hint="eastAsia"/>
          <w:b/>
          <w:bCs/>
          <w:highlight w:val="none"/>
        </w:rPr>
        <w:t>备注：以上节点请</w:t>
      </w:r>
      <w:r>
        <w:rPr>
          <w:rFonts w:hint="eastAsia"/>
          <w:b/>
          <w:szCs w:val="21"/>
          <w:highlight w:val="none"/>
        </w:rPr>
        <w:t>根据评审表的要求提交相应资料，格式自拟。</w:t>
      </w:r>
    </w:p>
    <w:p>
      <w:pPr>
        <w:rPr>
          <w:rFonts w:hint="eastAsia"/>
          <w:highlight w:val="none"/>
        </w:rPr>
      </w:pPr>
    </w:p>
    <w:p>
      <w:pPr>
        <w:tabs>
          <w:tab w:val="clear" w:pos="426"/>
        </w:tabs>
        <w:spacing w:line="240" w:lineRule="auto"/>
        <w:ind w:firstLine="424" w:firstLineChars="202"/>
        <w:rPr>
          <w:rFonts w:hint="eastAsia"/>
          <w:highlight w:val="none"/>
        </w:rPr>
      </w:pPr>
    </w:p>
    <w:p>
      <w:pPr>
        <w:tabs>
          <w:tab w:val="clear" w:pos="426"/>
        </w:tabs>
        <w:spacing w:line="240" w:lineRule="auto"/>
        <w:ind w:firstLine="424" w:firstLineChars="202"/>
        <w:rPr>
          <w:rFonts w:ascii="Times New Roman" w:hAnsi="Times New Roman" w:cs="Times New Roman"/>
          <w:bCs/>
          <w:highlight w:val="none"/>
        </w:rPr>
      </w:pPr>
    </w:p>
    <w:p>
      <w:pPr>
        <w:shd w:val="clear" w:color="auto" w:fill="auto"/>
        <w:tabs>
          <w:tab w:val="clear" w:pos="426"/>
        </w:tabs>
        <w:adjustRightInd/>
        <w:snapToGrid/>
        <w:spacing w:line="240" w:lineRule="auto"/>
        <w:jc w:val="left"/>
        <w:rPr>
          <w:rFonts w:ascii="Times New Roman" w:hAnsi="Times New Roman" w:cs="Times New Roman"/>
          <w:bCs/>
          <w:highlight w:val="none"/>
        </w:rPr>
      </w:pPr>
      <w:r>
        <w:rPr>
          <w:rFonts w:ascii="Times New Roman" w:hAnsi="Times New Roman" w:cs="Times New Roman"/>
          <w:bCs/>
          <w:highlight w:val="none"/>
        </w:rPr>
        <w:br w:type="page"/>
      </w:r>
    </w:p>
    <w:p>
      <w:pPr>
        <w:adjustRightInd/>
        <w:snapToGrid/>
        <w:spacing w:before="280" w:after="290" w:line="377" w:lineRule="auto"/>
        <w:outlineLvl w:val="2"/>
        <w:rPr>
          <w:rFonts w:hint="eastAsia"/>
          <w:b/>
          <w:sz w:val="24"/>
          <w:highlight w:val="none"/>
        </w:rPr>
      </w:pPr>
      <w:bookmarkStart w:id="132" w:name="_Toc29923"/>
      <w:r>
        <w:rPr>
          <w:rFonts w:hint="eastAsia"/>
          <w:b/>
          <w:sz w:val="24"/>
          <w:highlight w:val="none"/>
        </w:rPr>
        <w:t>格式12：商务条款偏离表</w:t>
      </w:r>
      <w:bookmarkEnd w:id="132"/>
    </w:p>
    <w:p>
      <w:pPr>
        <w:widowControl w:val="0"/>
        <w:shd w:val="clear" w:color="auto" w:fill="auto"/>
        <w:tabs>
          <w:tab w:val="clear" w:pos="426"/>
        </w:tabs>
        <w:spacing w:line="300" w:lineRule="auto"/>
        <w:jc w:val="center"/>
        <w:rPr>
          <w:rFonts w:ascii="Times New Roman" w:hAnsi="Times New Roman" w:cs="Times New Roman"/>
          <w:bCs/>
          <w:kern w:val="2"/>
          <w:sz w:val="32"/>
          <w:szCs w:val="32"/>
          <w:highlight w:val="none"/>
        </w:rPr>
      </w:pPr>
      <w:r>
        <w:rPr>
          <w:rFonts w:hint="eastAsia" w:ascii="Times New Roman" w:hAnsi="Times New Roman" w:cs="Times New Roman"/>
          <w:bCs/>
          <w:kern w:val="2"/>
          <w:sz w:val="32"/>
          <w:szCs w:val="32"/>
          <w:highlight w:val="none"/>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highlight w:val="none"/>
        </w:rPr>
      </w:pPr>
    </w:p>
    <w:p>
      <w:pPr>
        <w:rPr>
          <w:rFonts w:ascii="Times New Roman" w:hAnsi="Times New Roman" w:cs="Times New Roman"/>
          <w:b/>
          <w:highlight w:val="none"/>
        </w:rPr>
      </w:pPr>
      <w:r>
        <w:rPr>
          <w:rFonts w:ascii="Times New Roman" w:hAnsi="Times New Roman" w:cs="Times New Roman"/>
          <w:highlight w:val="none"/>
        </w:rPr>
        <w:t>项目名称：</w:t>
      </w:r>
      <w:r>
        <w:rPr>
          <w:rFonts w:ascii="Times New Roman" w:hAnsi="Times New Roman" w:cs="Times New Roman"/>
          <w:highlight w:val="none"/>
          <w:u w:val="single"/>
        </w:rPr>
        <w:t>_________________________________</w:t>
      </w:r>
      <w:r>
        <w:rPr>
          <w:rFonts w:ascii="Times New Roman" w:hAnsi="Times New Roman" w:cs="Times New Roman"/>
          <w:highlight w:val="none"/>
        </w:rPr>
        <w:t>项目编号：</w:t>
      </w:r>
      <w:r>
        <w:rPr>
          <w:rFonts w:ascii="Times New Roman" w:hAnsi="Times New Roman" w:cs="Times New Roman"/>
          <w:highlight w:val="none"/>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序号</w:t>
            </w:r>
          </w:p>
        </w:tc>
        <w:tc>
          <w:tcPr>
            <w:tcW w:w="605"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目录</w:t>
            </w:r>
          </w:p>
        </w:tc>
        <w:tc>
          <w:tcPr>
            <w:tcW w:w="1109"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招标商务条款</w:t>
            </w:r>
          </w:p>
        </w:tc>
        <w:tc>
          <w:tcPr>
            <w:tcW w:w="1109"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投标商务条款</w:t>
            </w:r>
          </w:p>
        </w:tc>
        <w:tc>
          <w:tcPr>
            <w:tcW w:w="806"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偏离情况</w:t>
            </w:r>
          </w:p>
        </w:tc>
        <w:tc>
          <w:tcPr>
            <w:tcW w:w="908"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1</w:t>
            </w:r>
          </w:p>
        </w:tc>
        <w:tc>
          <w:tcPr>
            <w:tcW w:w="605" w:type="pct"/>
            <w:vAlign w:val="center"/>
          </w:tcPr>
          <w:p>
            <w:pPr>
              <w:tabs>
                <w:tab w:val="clear" w:pos="426"/>
              </w:tabs>
              <w:spacing w:line="240" w:lineRule="auto"/>
              <w:jc w:val="center"/>
              <w:rPr>
                <w:rFonts w:ascii="Times New Roman" w:hAnsi="Times New Roman" w:cs="Times New Roman"/>
                <w:highlight w:val="none"/>
              </w:rPr>
            </w:pPr>
          </w:p>
        </w:tc>
        <w:tc>
          <w:tcPr>
            <w:tcW w:w="1109" w:type="pct"/>
            <w:vAlign w:val="center"/>
          </w:tcPr>
          <w:p>
            <w:pPr>
              <w:tabs>
                <w:tab w:val="clear" w:pos="426"/>
              </w:tabs>
              <w:spacing w:line="240" w:lineRule="auto"/>
              <w:jc w:val="center"/>
              <w:rPr>
                <w:rFonts w:ascii="Times New Roman" w:hAnsi="Times New Roman" w:cs="Times New Roman"/>
                <w:highlight w:val="none"/>
              </w:rPr>
            </w:pPr>
          </w:p>
        </w:tc>
        <w:tc>
          <w:tcPr>
            <w:tcW w:w="1109" w:type="pct"/>
            <w:vAlign w:val="center"/>
          </w:tcPr>
          <w:p>
            <w:pPr>
              <w:tabs>
                <w:tab w:val="clear" w:pos="426"/>
              </w:tabs>
              <w:spacing w:line="240" w:lineRule="auto"/>
              <w:jc w:val="center"/>
              <w:rPr>
                <w:rFonts w:ascii="Times New Roman" w:hAnsi="Times New Roman" w:cs="Times New Roman"/>
                <w:highlight w:val="none"/>
              </w:rPr>
            </w:pPr>
          </w:p>
        </w:tc>
        <w:tc>
          <w:tcPr>
            <w:tcW w:w="806" w:type="pct"/>
            <w:vAlign w:val="center"/>
          </w:tcPr>
          <w:p>
            <w:pPr>
              <w:tabs>
                <w:tab w:val="clear" w:pos="426"/>
              </w:tabs>
              <w:spacing w:line="240" w:lineRule="auto"/>
              <w:jc w:val="center"/>
              <w:rPr>
                <w:rFonts w:ascii="Times New Roman" w:hAnsi="Times New Roman" w:cs="Times New Roman"/>
                <w:highlight w:val="none"/>
              </w:rPr>
            </w:pPr>
          </w:p>
        </w:tc>
        <w:tc>
          <w:tcPr>
            <w:tcW w:w="908" w:type="pct"/>
            <w:vAlign w:val="center"/>
          </w:tcPr>
          <w:p>
            <w:pPr>
              <w:tabs>
                <w:tab w:val="clear" w:pos="426"/>
              </w:tabs>
              <w:spacing w:line="240" w:lineRule="auto"/>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2</w:t>
            </w:r>
          </w:p>
        </w:tc>
        <w:tc>
          <w:tcPr>
            <w:tcW w:w="605" w:type="pct"/>
            <w:vAlign w:val="center"/>
          </w:tcPr>
          <w:p>
            <w:pPr>
              <w:tabs>
                <w:tab w:val="clear" w:pos="426"/>
              </w:tabs>
              <w:spacing w:line="240" w:lineRule="auto"/>
              <w:jc w:val="center"/>
              <w:rPr>
                <w:rFonts w:ascii="Times New Roman" w:hAnsi="Times New Roman" w:cs="Times New Roman"/>
                <w:highlight w:val="none"/>
              </w:rPr>
            </w:pPr>
          </w:p>
        </w:tc>
        <w:tc>
          <w:tcPr>
            <w:tcW w:w="1109" w:type="pct"/>
            <w:vAlign w:val="center"/>
          </w:tcPr>
          <w:p>
            <w:pPr>
              <w:tabs>
                <w:tab w:val="clear" w:pos="426"/>
              </w:tabs>
              <w:spacing w:line="240" w:lineRule="auto"/>
              <w:jc w:val="center"/>
              <w:rPr>
                <w:rFonts w:ascii="Times New Roman" w:hAnsi="Times New Roman" w:cs="Times New Roman"/>
                <w:highlight w:val="none"/>
              </w:rPr>
            </w:pPr>
          </w:p>
        </w:tc>
        <w:tc>
          <w:tcPr>
            <w:tcW w:w="1109" w:type="pct"/>
            <w:vAlign w:val="center"/>
          </w:tcPr>
          <w:p>
            <w:pPr>
              <w:tabs>
                <w:tab w:val="clear" w:pos="426"/>
              </w:tabs>
              <w:spacing w:line="240" w:lineRule="auto"/>
              <w:jc w:val="center"/>
              <w:rPr>
                <w:rFonts w:ascii="Times New Roman" w:hAnsi="Times New Roman" w:cs="Times New Roman"/>
                <w:highlight w:val="none"/>
              </w:rPr>
            </w:pPr>
          </w:p>
        </w:tc>
        <w:tc>
          <w:tcPr>
            <w:tcW w:w="806" w:type="pct"/>
            <w:vAlign w:val="center"/>
          </w:tcPr>
          <w:p>
            <w:pPr>
              <w:tabs>
                <w:tab w:val="clear" w:pos="426"/>
              </w:tabs>
              <w:spacing w:line="240" w:lineRule="auto"/>
              <w:jc w:val="center"/>
              <w:rPr>
                <w:rFonts w:ascii="Times New Roman" w:hAnsi="Times New Roman" w:cs="Times New Roman"/>
                <w:highlight w:val="none"/>
              </w:rPr>
            </w:pPr>
          </w:p>
        </w:tc>
        <w:tc>
          <w:tcPr>
            <w:tcW w:w="908" w:type="pct"/>
            <w:vAlign w:val="center"/>
          </w:tcPr>
          <w:p>
            <w:pPr>
              <w:tabs>
                <w:tab w:val="clear" w:pos="426"/>
              </w:tabs>
              <w:spacing w:line="240" w:lineRule="auto"/>
              <w:jc w:val="cente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highlight w:val="none"/>
              </w:rPr>
            </w:pPr>
            <w:r>
              <w:rPr>
                <w:rFonts w:ascii="Times New Roman" w:hAnsi="Times New Roman" w:cs="Times New Roman"/>
                <w:highlight w:val="none"/>
              </w:rPr>
              <w:t>……</w:t>
            </w:r>
          </w:p>
        </w:tc>
        <w:tc>
          <w:tcPr>
            <w:tcW w:w="605" w:type="pct"/>
            <w:vAlign w:val="center"/>
          </w:tcPr>
          <w:p>
            <w:pPr>
              <w:tabs>
                <w:tab w:val="clear" w:pos="426"/>
              </w:tabs>
              <w:spacing w:line="240" w:lineRule="auto"/>
              <w:jc w:val="center"/>
              <w:rPr>
                <w:rFonts w:ascii="Times New Roman" w:hAnsi="Times New Roman" w:cs="Times New Roman"/>
                <w:highlight w:val="none"/>
              </w:rPr>
            </w:pPr>
          </w:p>
        </w:tc>
        <w:tc>
          <w:tcPr>
            <w:tcW w:w="1109" w:type="pct"/>
            <w:vAlign w:val="center"/>
          </w:tcPr>
          <w:p>
            <w:pPr>
              <w:tabs>
                <w:tab w:val="clear" w:pos="426"/>
              </w:tabs>
              <w:spacing w:line="240" w:lineRule="auto"/>
              <w:jc w:val="center"/>
              <w:rPr>
                <w:rFonts w:ascii="Times New Roman" w:hAnsi="Times New Roman" w:cs="Times New Roman"/>
                <w:highlight w:val="none"/>
              </w:rPr>
            </w:pPr>
          </w:p>
        </w:tc>
        <w:tc>
          <w:tcPr>
            <w:tcW w:w="1109" w:type="pct"/>
            <w:vAlign w:val="center"/>
          </w:tcPr>
          <w:p>
            <w:pPr>
              <w:tabs>
                <w:tab w:val="clear" w:pos="426"/>
              </w:tabs>
              <w:spacing w:line="240" w:lineRule="auto"/>
              <w:jc w:val="center"/>
              <w:rPr>
                <w:rFonts w:ascii="Times New Roman" w:hAnsi="Times New Roman" w:cs="Times New Roman"/>
                <w:highlight w:val="none"/>
              </w:rPr>
            </w:pPr>
          </w:p>
        </w:tc>
        <w:tc>
          <w:tcPr>
            <w:tcW w:w="806" w:type="pct"/>
            <w:vAlign w:val="center"/>
          </w:tcPr>
          <w:p>
            <w:pPr>
              <w:tabs>
                <w:tab w:val="clear" w:pos="426"/>
              </w:tabs>
              <w:spacing w:line="240" w:lineRule="auto"/>
              <w:jc w:val="center"/>
              <w:rPr>
                <w:rFonts w:ascii="Times New Roman" w:hAnsi="Times New Roman" w:cs="Times New Roman"/>
                <w:highlight w:val="none"/>
              </w:rPr>
            </w:pPr>
          </w:p>
        </w:tc>
        <w:tc>
          <w:tcPr>
            <w:tcW w:w="908" w:type="pct"/>
            <w:vAlign w:val="center"/>
          </w:tcPr>
          <w:p>
            <w:pPr>
              <w:tabs>
                <w:tab w:val="clear" w:pos="426"/>
              </w:tabs>
              <w:spacing w:line="240" w:lineRule="auto"/>
              <w:jc w:val="center"/>
              <w:rPr>
                <w:rFonts w:ascii="Times New Roman" w:hAnsi="Times New Roman" w:cs="Times New Roman"/>
                <w:highlight w:val="none"/>
              </w:rPr>
            </w:pPr>
          </w:p>
        </w:tc>
      </w:tr>
    </w:tbl>
    <w:p>
      <w:pPr>
        <w:tabs>
          <w:tab w:val="clear" w:pos="426"/>
        </w:tabs>
        <w:rPr>
          <w:rFonts w:ascii="Times New Roman" w:hAnsi="Times New Roman" w:cs="Times New Roman"/>
          <w:highlight w:val="none"/>
        </w:rPr>
      </w:pPr>
    </w:p>
    <w:p>
      <w:pPr>
        <w:tabs>
          <w:tab w:val="clear" w:pos="426"/>
        </w:tabs>
        <w:spacing w:line="240" w:lineRule="auto"/>
        <w:rPr>
          <w:rFonts w:ascii="Times New Roman" w:hAnsi="Times New Roman" w:cs="Times New Roman"/>
          <w:highlight w:val="none"/>
        </w:rPr>
      </w:pPr>
      <w:r>
        <w:rPr>
          <w:rFonts w:ascii="Times New Roman" w:hAnsi="Times New Roman" w:cs="Times New Roman"/>
          <w:highlight w:val="none"/>
        </w:rPr>
        <w:t>备注：</w:t>
      </w:r>
    </w:p>
    <w:p>
      <w:pPr>
        <w:tabs>
          <w:tab w:val="clear" w:pos="426"/>
        </w:tabs>
        <w:spacing w:line="240" w:lineRule="auto"/>
        <w:ind w:firstLine="424" w:firstLineChars="202"/>
        <w:rPr>
          <w:rFonts w:ascii="Times New Roman" w:hAnsi="Times New Roman" w:cs="Times New Roman"/>
          <w:highlight w:val="none"/>
        </w:rPr>
      </w:pPr>
      <w:r>
        <w:rPr>
          <w:rFonts w:ascii="Times New Roman" w:hAnsi="Times New Roman" w:cs="Times New Roman"/>
          <w:highlight w:val="none"/>
        </w:rPr>
        <w:t>1.“招标商务条款”一栏必须填写招标文件第</w:t>
      </w:r>
      <w:r>
        <w:rPr>
          <w:rFonts w:hint="eastAsia" w:ascii="Times New Roman" w:hAnsi="Times New Roman" w:cs="Times New Roman"/>
          <w:highlight w:val="none"/>
        </w:rPr>
        <w:t>二</w:t>
      </w:r>
      <w:r>
        <w:rPr>
          <w:rFonts w:ascii="Times New Roman" w:hAnsi="Times New Roman" w:cs="Times New Roman"/>
          <w:highlight w:val="none"/>
        </w:rPr>
        <w:t>章“商务</w:t>
      </w:r>
      <w:r>
        <w:rPr>
          <w:rFonts w:hint="eastAsia" w:ascii="Times New Roman" w:hAnsi="Times New Roman" w:cs="Times New Roman"/>
          <w:highlight w:val="none"/>
        </w:rPr>
        <w:t>要求</w:t>
      </w:r>
      <w:r>
        <w:rPr>
          <w:rFonts w:ascii="Times New Roman" w:hAnsi="Times New Roman" w:cs="Times New Roman"/>
          <w:highlight w:val="none"/>
        </w:rPr>
        <w:t>”的内容进行填写。</w:t>
      </w:r>
    </w:p>
    <w:p>
      <w:pPr>
        <w:tabs>
          <w:tab w:val="clear" w:pos="426"/>
        </w:tabs>
        <w:spacing w:line="240" w:lineRule="auto"/>
        <w:ind w:firstLine="424" w:firstLineChars="202"/>
        <w:rPr>
          <w:rFonts w:ascii="Times New Roman" w:hAnsi="Times New Roman" w:cs="Times New Roman"/>
          <w:highlight w:val="none"/>
        </w:rPr>
      </w:pPr>
      <w:r>
        <w:rPr>
          <w:rFonts w:ascii="Times New Roman" w:hAnsi="Times New Roman" w:cs="Times New Roman"/>
          <w:highlight w:val="none"/>
        </w:rPr>
        <w:t>2.“投标商务条款”一栏必须详细填写投标商务条款的内容。</w:t>
      </w:r>
    </w:p>
    <w:p>
      <w:pPr>
        <w:tabs>
          <w:tab w:val="clear" w:pos="426"/>
        </w:tabs>
        <w:spacing w:line="240" w:lineRule="auto"/>
        <w:ind w:firstLine="424" w:firstLineChars="202"/>
        <w:rPr>
          <w:rFonts w:ascii="Times New Roman" w:hAnsi="Times New Roman" w:cs="Times New Roman"/>
          <w:highlight w:val="none"/>
        </w:rPr>
      </w:pPr>
      <w:r>
        <w:rPr>
          <w:rFonts w:ascii="Times New Roman" w:hAnsi="Times New Roman" w:cs="Times New Roman"/>
          <w:highlight w:val="none"/>
        </w:rPr>
        <w:t>3.“偏离情况”栏中应如实填写“正偏离”、“负偏离”或“无偏离”。</w:t>
      </w:r>
    </w:p>
    <w:p>
      <w:pPr>
        <w:tabs>
          <w:tab w:val="clear" w:pos="426"/>
        </w:tabs>
        <w:spacing w:line="240" w:lineRule="auto"/>
        <w:ind w:firstLine="424" w:firstLineChars="202"/>
        <w:rPr>
          <w:rFonts w:ascii="Times New Roman" w:hAnsi="Times New Roman" w:cs="Times New Roman"/>
          <w:highlight w:val="none"/>
        </w:rPr>
      </w:pPr>
      <w:r>
        <w:rPr>
          <w:rFonts w:ascii="Times New Roman" w:hAnsi="Times New Roman" w:cs="Times New Roman"/>
          <w:highlight w:val="none"/>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highlight w:val="none"/>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highlight w:val="none"/>
        </w:rPr>
      </w:pPr>
      <w:r>
        <w:rPr>
          <w:rFonts w:ascii="Times New Roman" w:hAnsi="Times New Roman" w:cs="Times New Roman"/>
          <w:bCs/>
          <w:highlight w:val="none"/>
        </w:rPr>
        <w:t>5．</w:t>
      </w:r>
      <w:r>
        <w:rPr>
          <w:rFonts w:ascii="Times New Roman" w:hAnsi="Times New Roman" w:cs="Times New Roman"/>
          <w:highlight w:val="none"/>
        </w:rPr>
        <w:t>投标人所填写的“偏离情况”与评审委员会判定不一致时，以评审委员会意见为主。</w:t>
      </w:r>
    </w:p>
    <w:p>
      <w:pPr>
        <w:tabs>
          <w:tab w:val="clear" w:pos="426"/>
        </w:tabs>
        <w:spacing w:line="240" w:lineRule="auto"/>
        <w:ind w:firstLine="424" w:firstLineChars="202"/>
        <w:rPr>
          <w:rFonts w:hint="eastAsia"/>
          <w:highlight w:val="none"/>
        </w:rPr>
      </w:pPr>
      <w:r>
        <w:rPr>
          <w:rFonts w:ascii="Times New Roman" w:hAnsi="Times New Roman" w:cs="Times New Roman"/>
          <w:highlight w:val="none"/>
        </w:rPr>
        <w:t>6.交货期条款为不可负偏离条款，投标文件响应为“负偏离”的，投标文件将按无效投标处理。</w:t>
      </w:r>
    </w:p>
    <w:p>
      <w:pPr>
        <w:rPr>
          <w:rFonts w:hint="eastAsia"/>
          <w:highlight w:val="none"/>
        </w:rPr>
      </w:pPr>
      <w:r>
        <w:rPr>
          <w:rFonts w:hint="eastAsia"/>
          <w:highlight w:val="none"/>
        </w:rPr>
        <w:br w:type="page"/>
      </w:r>
    </w:p>
    <w:p>
      <w:pPr>
        <w:adjustRightInd/>
        <w:snapToGrid/>
        <w:spacing w:before="280" w:after="290" w:line="377" w:lineRule="auto"/>
        <w:outlineLvl w:val="2"/>
        <w:rPr>
          <w:rFonts w:hint="eastAsia"/>
          <w:b/>
          <w:sz w:val="24"/>
          <w:highlight w:val="none"/>
        </w:rPr>
      </w:pPr>
      <w:bookmarkStart w:id="133" w:name="_Toc6533"/>
      <w:r>
        <w:rPr>
          <w:rFonts w:hint="eastAsia"/>
          <w:b/>
          <w:sz w:val="24"/>
          <w:highlight w:val="none"/>
        </w:rPr>
        <w:t>格式13：投标人综合概况简表</w:t>
      </w:r>
      <w:bookmarkEnd w:id="133"/>
    </w:p>
    <w:p>
      <w:pPr>
        <w:widowControl w:val="0"/>
        <w:shd w:val="clear" w:color="auto" w:fill="auto"/>
        <w:tabs>
          <w:tab w:val="clear" w:pos="426"/>
        </w:tabs>
        <w:adjustRightInd/>
        <w:snapToGrid/>
        <w:spacing w:line="300" w:lineRule="auto"/>
        <w:jc w:val="center"/>
        <w:rPr>
          <w:rFonts w:hint="eastAsia" w:cs="Times New Roman"/>
          <w:bCs/>
          <w:kern w:val="2"/>
          <w:sz w:val="32"/>
          <w:szCs w:val="32"/>
          <w:highlight w:val="none"/>
        </w:rPr>
      </w:pPr>
      <w:r>
        <w:rPr>
          <w:rFonts w:hint="eastAsia" w:cs="Times New Roman"/>
          <w:bCs/>
          <w:kern w:val="2"/>
          <w:sz w:val="32"/>
          <w:szCs w:val="32"/>
          <w:highlight w:val="none"/>
        </w:rPr>
        <w:t>投标人综合概况简表</w:t>
      </w:r>
    </w:p>
    <w:p>
      <w:pPr>
        <w:widowControl w:val="0"/>
        <w:shd w:val="clear" w:color="auto" w:fill="auto"/>
        <w:tabs>
          <w:tab w:val="clear" w:pos="426"/>
        </w:tabs>
        <w:adjustRightInd/>
        <w:snapToGrid/>
        <w:rPr>
          <w:rFonts w:hint="eastAsia" w:cs="Arial"/>
          <w:b/>
          <w:szCs w:val="21"/>
          <w:highlight w:val="none"/>
        </w:rPr>
      </w:pPr>
      <w:r>
        <w:rPr>
          <w:rFonts w:hint="eastAsia" w:cs="Arial"/>
          <w:b/>
          <w:szCs w:val="21"/>
          <w:highlight w:val="none"/>
        </w:rPr>
        <w:t>一、</w:t>
      </w:r>
      <w:r>
        <w:rPr>
          <w:rFonts w:cs="Arial"/>
          <w:b/>
          <w:szCs w:val="21"/>
          <w:highlight w:val="none"/>
        </w:rPr>
        <w:t>公司基本情况</w:t>
      </w:r>
    </w:p>
    <w:p>
      <w:pPr>
        <w:widowControl w:val="0"/>
        <w:numPr>
          <w:ilvl w:val="1"/>
          <w:numId w:val="6"/>
        </w:numPr>
        <w:shd w:val="clear" w:color="auto" w:fill="auto"/>
        <w:tabs>
          <w:tab w:val="clear" w:pos="426"/>
        </w:tabs>
        <w:adjustRightInd/>
        <w:snapToGrid/>
        <w:ind w:left="0" w:firstLine="426"/>
        <w:rPr>
          <w:rFonts w:hint="eastAsia" w:cs="Arial"/>
          <w:szCs w:val="21"/>
          <w:highlight w:val="none"/>
        </w:rPr>
      </w:pPr>
      <w:r>
        <w:rPr>
          <w:rFonts w:cs="Arial"/>
          <w:szCs w:val="21"/>
          <w:highlight w:val="none"/>
        </w:rPr>
        <w:t>公司名称：</w:t>
      </w:r>
      <w:r>
        <w:rPr>
          <w:rFonts w:cs="Arial"/>
          <w:szCs w:val="21"/>
          <w:highlight w:val="none"/>
          <w:u w:val="single"/>
        </w:rPr>
        <w:t>______________________________</w:t>
      </w:r>
      <w:r>
        <w:rPr>
          <w:rFonts w:cs="Arial"/>
          <w:szCs w:val="21"/>
          <w:highlight w:val="none"/>
        </w:rPr>
        <w:t xml:space="preserve">  电话号码：</w:t>
      </w:r>
      <w:r>
        <w:rPr>
          <w:rFonts w:cs="Arial"/>
          <w:szCs w:val="21"/>
          <w:highlight w:val="none"/>
          <w:u w:val="single"/>
        </w:rPr>
        <w:t>____________________________</w:t>
      </w:r>
    </w:p>
    <w:p>
      <w:pPr>
        <w:widowControl w:val="0"/>
        <w:numPr>
          <w:ilvl w:val="1"/>
          <w:numId w:val="6"/>
        </w:numPr>
        <w:shd w:val="clear" w:color="auto" w:fill="auto"/>
        <w:tabs>
          <w:tab w:val="clear" w:pos="426"/>
        </w:tabs>
        <w:adjustRightInd/>
        <w:snapToGrid/>
        <w:ind w:left="0" w:firstLine="426"/>
        <w:rPr>
          <w:rFonts w:hint="eastAsia" w:cs="Arial"/>
          <w:szCs w:val="21"/>
          <w:highlight w:val="none"/>
        </w:rPr>
      </w:pPr>
      <w:r>
        <w:rPr>
          <w:rFonts w:cs="Arial"/>
          <w:szCs w:val="21"/>
          <w:highlight w:val="none"/>
        </w:rPr>
        <w:t>地    址：</w:t>
      </w:r>
      <w:r>
        <w:rPr>
          <w:rFonts w:cs="Arial"/>
          <w:szCs w:val="21"/>
          <w:highlight w:val="none"/>
          <w:u w:val="single"/>
        </w:rPr>
        <w:t>______________________________</w:t>
      </w:r>
      <w:r>
        <w:rPr>
          <w:rFonts w:cs="Arial"/>
          <w:szCs w:val="21"/>
          <w:highlight w:val="none"/>
        </w:rPr>
        <w:t xml:space="preserve">  传    真：</w:t>
      </w:r>
      <w:r>
        <w:rPr>
          <w:rFonts w:cs="Arial"/>
          <w:szCs w:val="21"/>
          <w:highlight w:val="none"/>
          <w:u w:val="single"/>
        </w:rPr>
        <w:t>____________________________</w:t>
      </w:r>
    </w:p>
    <w:p>
      <w:pPr>
        <w:widowControl w:val="0"/>
        <w:numPr>
          <w:ilvl w:val="1"/>
          <w:numId w:val="6"/>
        </w:numPr>
        <w:shd w:val="clear" w:color="auto" w:fill="auto"/>
        <w:tabs>
          <w:tab w:val="clear" w:pos="426"/>
        </w:tabs>
        <w:adjustRightInd/>
        <w:snapToGrid/>
        <w:ind w:left="0" w:firstLine="426"/>
        <w:rPr>
          <w:rFonts w:hint="eastAsia" w:cs="Arial"/>
          <w:szCs w:val="21"/>
          <w:highlight w:val="none"/>
          <w:u w:val="single"/>
        </w:rPr>
      </w:pPr>
      <w:r>
        <w:rPr>
          <w:rFonts w:cs="Arial"/>
          <w:szCs w:val="21"/>
          <w:highlight w:val="none"/>
        </w:rPr>
        <w:t>注册资金：</w:t>
      </w:r>
      <w:r>
        <w:rPr>
          <w:rFonts w:cs="Arial"/>
          <w:szCs w:val="21"/>
          <w:highlight w:val="none"/>
          <w:u w:val="single"/>
        </w:rPr>
        <w:t>______________________________</w:t>
      </w:r>
      <w:r>
        <w:rPr>
          <w:rFonts w:cs="Arial"/>
          <w:szCs w:val="21"/>
          <w:highlight w:val="none"/>
        </w:rPr>
        <w:t xml:space="preserve">  经济性质：</w:t>
      </w:r>
      <w:r>
        <w:rPr>
          <w:rFonts w:cs="Arial"/>
          <w:szCs w:val="21"/>
          <w:highlight w:val="none"/>
          <w:u w:val="single"/>
        </w:rPr>
        <w:t>______</w:t>
      </w:r>
      <w:r>
        <w:rPr>
          <w:rFonts w:hint="eastAsia" w:cs="Arial"/>
          <w:szCs w:val="21"/>
          <w:highlight w:val="none"/>
          <w:u w:val="single"/>
        </w:rPr>
        <w:t>___________________</w:t>
      </w:r>
      <w:r>
        <w:rPr>
          <w:rFonts w:cs="Arial"/>
          <w:szCs w:val="21"/>
          <w:highlight w:val="none"/>
          <w:u w:val="single"/>
        </w:rPr>
        <w:t>___</w:t>
      </w:r>
    </w:p>
    <w:p>
      <w:pPr>
        <w:widowControl w:val="0"/>
        <w:numPr>
          <w:ilvl w:val="1"/>
          <w:numId w:val="6"/>
        </w:numPr>
        <w:shd w:val="clear" w:color="auto" w:fill="auto"/>
        <w:tabs>
          <w:tab w:val="clear" w:pos="426"/>
        </w:tabs>
        <w:adjustRightInd/>
        <w:snapToGrid/>
        <w:ind w:left="0" w:firstLine="426"/>
        <w:rPr>
          <w:rFonts w:hint="eastAsia" w:cs="Arial"/>
          <w:szCs w:val="21"/>
          <w:highlight w:val="none"/>
        </w:rPr>
      </w:pPr>
      <w:r>
        <w:rPr>
          <w:rFonts w:cs="Arial"/>
          <w:szCs w:val="21"/>
          <w:highlight w:val="none"/>
        </w:rPr>
        <w:t>公司开户银行名称及账号：</w:t>
      </w:r>
      <w:r>
        <w:rPr>
          <w:rFonts w:hint="eastAsia" w:cs="Arial"/>
          <w:szCs w:val="21"/>
          <w:highlight w:val="none"/>
          <w:u w:val="single"/>
        </w:rPr>
        <w:t>________________________________________________________</w:t>
      </w:r>
    </w:p>
    <w:p>
      <w:pPr>
        <w:widowControl w:val="0"/>
        <w:numPr>
          <w:ilvl w:val="1"/>
          <w:numId w:val="6"/>
        </w:numPr>
        <w:shd w:val="clear" w:color="auto" w:fill="auto"/>
        <w:tabs>
          <w:tab w:val="clear" w:pos="426"/>
        </w:tabs>
        <w:adjustRightInd/>
        <w:snapToGrid/>
        <w:ind w:left="0" w:firstLine="426"/>
        <w:rPr>
          <w:rFonts w:hint="eastAsia" w:cs="Arial"/>
          <w:szCs w:val="21"/>
          <w:highlight w:val="none"/>
        </w:rPr>
      </w:pPr>
      <w:r>
        <w:rPr>
          <w:rFonts w:cs="Arial"/>
          <w:szCs w:val="21"/>
          <w:highlight w:val="none"/>
        </w:rPr>
        <w:t>营业注册执照号：</w:t>
      </w:r>
      <w:r>
        <w:rPr>
          <w:rFonts w:hint="eastAsia" w:cs="Arial"/>
          <w:szCs w:val="21"/>
          <w:highlight w:val="none"/>
          <w:u w:val="single"/>
        </w:rPr>
        <w:t>________________________________________________________________</w:t>
      </w:r>
    </w:p>
    <w:p>
      <w:pPr>
        <w:widowControl w:val="0"/>
        <w:numPr>
          <w:ilvl w:val="1"/>
          <w:numId w:val="6"/>
        </w:numPr>
        <w:shd w:val="clear" w:color="auto" w:fill="auto"/>
        <w:tabs>
          <w:tab w:val="clear" w:pos="426"/>
        </w:tabs>
        <w:adjustRightInd/>
        <w:snapToGrid/>
        <w:ind w:left="0" w:firstLine="426"/>
        <w:rPr>
          <w:rFonts w:hint="eastAsia" w:cs="Arial"/>
          <w:szCs w:val="21"/>
          <w:highlight w:val="none"/>
        </w:rPr>
      </w:pPr>
      <w:r>
        <w:rPr>
          <w:rFonts w:cs="Arial"/>
          <w:szCs w:val="21"/>
          <w:highlight w:val="none"/>
        </w:rPr>
        <w:t>公司简介</w:t>
      </w:r>
    </w:p>
    <w:p>
      <w:pPr>
        <w:tabs>
          <w:tab w:val="clear" w:pos="426"/>
        </w:tabs>
        <w:ind w:firstLine="426"/>
        <w:rPr>
          <w:rFonts w:hint="eastAsia"/>
          <w:highlight w:val="none"/>
        </w:rPr>
      </w:pPr>
      <w:r>
        <w:rPr>
          <w:rFonts w:hint="eastAsia"/>
          <w:highlight w:val="none"/>
        </w:rPr>
        <w:t>文字描述：</w:t>
      </w:r>
      <w:r>
        <w:rPr>
          <w:rFonts w:hint="eastAsia"/>
          <w:bCs/>
          <w:szCs w:val="21"/>
          <w:highlight w:val="none"/>
          <w:lang w:val="en-GB"/>
        </w:rPr>
        <w:t>发展历程、经营规模及服务理念</w:t>
      </w:r>
      <w:r>
        <w:rPr>
          <w:rFonts w:hint="eastAsia"/>
          <w:highlight w:val="none"/>
        </w:rPr>
        <w:t>、技术力量、财务状况、</w:t>
      </w:r>
      <w:r>
        <w:rPr>
          <w:highlight w:val="none"/>
        </w:rPr>
        <w:t>管理水平</w:t>
      </w:r>
      <w:r>
        <w:rPr>
          <w:rFonts w:hint="eastAsia"/>
          <w:highlight w:val="none"/>
        </w:rPr>
        <w:t>等方面进行阐述；</w:t>
      </w:r>
    </w:p>
    <w:p>
      <w:pPr>
        <w:tabs>
          <w:tab w:val="clear" w:pos="426"/>
        </w:tabs>
        <w:ind w:firstLine="426"/>
        <w:rPr>
          <w:rFonts w:hint="eastAsia" w:cs="Arial"/>
          <w:szCs w:val="21"/>
          <w:highlight w:val="none"/>
        </w:rPr>
      </w:pPr>
      <w:r>
        <w:rPr>
          <w:rFonts w:hint="eastAsia"/>
          <w:highlight w:val="none"/>
        </w:rPr>
        <w:t>图片描述：</w:t>
      </w:r>
      <w:r>
        <w:rPr>
          <w:rFonts w:hint="eastAsia"/>
          <w:bCs/>
          <w:szCs w:val="21"/>
          <w:highlight w:val="none"/>
          <w:lang w:val="en-GB"/>
        </w:rPr>
        <w:t>经营场所、主要或关键产品介绍、生产场所及服务流程等。</w:t>
      </w:r>
    </w:p>
    <w:p>
      <w:pPr>
        <w:tabs>
          <w:tab w:val="clear" w:pos="426"/>
        </w:tabs>
        <w:spacing w:line="440" w:lineRule="exact"/>
        <w:rPr>
          <w:rFonts w:hint="eastAsia"/>
          <w:b/>
          <w:bCs/>
          <w:highlight w:val="none"/>
        </w:rPr>
      </w:pPr>
    </w:p>
    <w:p>
      <w:pPr>
        <w:rPr>
          <w:rFonts w:hint="eastAsia"/>
          <w:b/>
          <w:bCs/>
          <w:highlight w:val="none"/>
        </w:rPr>
      </w:pPr>
      <w:r>
        <w:rPr>
          <w:rFonts w:hint="eastAsia"/>
          <w:b/>
          <w:bCs/>
          <w:highlight w:val="none"/>
        </w:rPr>
        <w:br w:type="page"/>
      </w:r>
    </w:p>
    <w:p>
      <w:pPr>
        <w:adjustRightInd/>
        <w:snapToGrid/>
        <w:spacing w:before="280" w:after="290" w:line="377" w:lineRule="auto"/>
        <w:outlineLvl w:val="2"/>
        <w:rPr>
          <w:rFonts w:hint="eastAsia"/>
          <w:b/>
          <w:sz w:val="24"/>
          <w:highlight w:val="none"/>
        </w:rPr>
      </w:pPr>
      <w:bookmarkStart w:id="134" w:name="_Toc22664"/>
      <w:r>
        <w:rPr>
          <w:rFonts w:hint="eastAsia"/>
          <w:b/>
          <w:sz w:val="24"/>
          <w:highlight w:val="none"/>
        </w:rPr>
        <w:t>格式14：企业类型声明函</w:t>
      </w:r>
      <w:bookmarkEnd w:id="134"/>
    </w:p>
    <w:p>
      <w:pPr>
        <w:tabs>
          <w:tab w:val="clear" w:pos="426"/>
        </w:tabs>
        <w:spacing w:line="240" w:lineRule="auto"/>
        <w:ind w:firstLine="420"/>
        <w:rPr>
          <w:rFonts w:ascii="Times New Roman" w:hAnsi="Times New Roman" w:cs="Times New Roman"/>
          <w:szCs w:val="21"/>
          <w:highlight w:val="none"/>
        </w:rPr>
      </w:pPr>
      <w:r>
        <w:rPr>
          <w:rFonts w:ascii="Times New Roman" w:hAnsi="Times New Roman" w:cs="Times New Roman"/>
          <w:szCs w:val="21"/>
          <w:highlight w:val="none"/>
        </w:rPr>
        <w:t>填写指引：</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highlight w:val="none"/>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highlight w:val="none"/>
        </w:rPr>
        <w:t xml:space="preserve">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2.该部分内容填写需要参考的相关文件（</w:t>
      </w:r>
      <w:r>
        <w:rPr>
          <w:rStyle w:val="141"/>
          <w:rFonts w:ascii="Times New Roman" w:hAnsi="Times New Roman" w:cs="Times New Roman"/>
          <w:highlight w:val="none"/>
        </w:rPr>
        <w:t>-</w:t>
      </w:r>
      <w:r>
        <w:rPr>
          <w:highlight w:val="none"/>
        </w:rPr>
        <w:fldChar w:fldCharType="begin"/>
      </w:r>
      <w:r>
        <w:rPr>
          <w:highlight w:val="none"/>
        </w:rPr>
        <w:instrText xml:space="preserve"> HYPERLINK "http://www.szsszx.com/Files/Editor/file/202106041655230146.rar" </w:instrText>
      </w:r>
      <w:r>
        <w:rPr>
          <w:highlight w:val="none"/>
        </w:rPr>
        <w:fldChar w:fldCharType="separate"/>
      </w:r>
      <w:r>
        <w:rPr>
          <w:rStyle w:val="141"/>
          <w:rFonts w:ascii="Times New Roman" w:hAnsi="Times New Roman" w:cs="Times New Roman"/>
          <w:bCs/>
          <w:szCs w:val="21"/>
          <w:highlight w:val="none"/>
        </w:rPr>
        <w:t>点此下载</w:t>
      </w:r>
      <w:r>
        <w:rPr>
          <w:rStyle w:val="141"/>
          <w:rFonts w:ascii="Times New Roman" w:hAnsi="Times New Roman" w:cs="Times New Roman"/>
          <w:bCs/>
          <w:szCs w:val="21"/>
          <w:highlight w:val="none"/>
        </w:rPr>
        <w:fldChar w:fldCharType="end"/>
      </w:r>
      <w:r>
        <w:rPr>
          <w:rStyle w:val="141"/>
          <w:rFonts w:ascii="Times New Roman" w:hAnsi="Times New Roman" w:cs="Times New Roman"/>
          <w:highlight w:val="none"/>
        </w:rPr>
        <w:t>-</w:t>
      </w:r>
      <w:r>
        <w:rPr>
          <w:rFonts w:ascii="Times New Roman" w:hAnsi="Times New Roman" w:cs="Times New Roman"/>
          <w:bCs/>
          <w:szCs w:val="21"/>
          <w:highlight w:val="none"/>
        </w:rPr>
        <w:t>）：</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w:t>
      </w:r>
      <w:r>
        <w:rPr>
          <w:rFonts w:hint="eastAsia" w:ascii="Times New Roman" w:hAnsi="Times New Roman" w:cs="Times New Roman"/>
          <w:bCs/>
          <w:szCs w:val="21"/>
          <w:highlight w:val="none"/>
        </w:rPr>
        <w:t>2</w:t>
      </w:r>
      <w:r>
        <w:rPr>
          <w:rFonts w:ascii="Times New Roman" w:hAnsi="Times New Roman" w:cs="Times New Roman"/>
          <w:bCs/>
          <w:szCs w:val="21"/>
          <w:highlight w:val="none"/>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第五处，在“□本企业制造的货物” 或“□提供其他</w:t>
      </w:r>
      <w:r>
        <w:rPr>
          <w:rFonts w:ascii="Times New Roman" w:hAnsi="Times New Roman" w:cs="Times New Roman"/>
          <w:bCs/>
          <w:szCs w:val="21"/>
          <w:highlight w:val="none"/>
          <w:u w:val="single"/>
        </w:rPr>
        <w:t>______</w:t>
      </w:r>
      <w:r>
        <w:rPr>
          <w:rFonts w:ascii="Times New Roman" w:hAnsi="Times New Roman" w:cs="Times New Roman"/>
          <w:bCs/>
          <w:szCs w:val="21"/>
          <w:highlight w:val="none"/>
        </w:rPr>
        <w:t>企业（请填写：中型、小型、微型）制造的货物”两处中选择一处打√；如选择在“□提供其他</w:t>
      </w:r>
      <w:r>
        <w:rPr>
          <w:rFonts w:ascii="Times New Roman" w:hAnsi="Times New Roman" w:cs="Times New Roman"/>
          <w:bCs/>
          <w:szCs w:val="21"/>
          <w:highlight w:val="none"/>
          <w:u w:val="single"/>
        </w:rPr>
        <w:t>______</w:t>
      </w:r>
      <w:r>
        <w:rPr>
          <w:rFonts w:ascii="Times New Roman" w:hAnsi="Times New Roman" w:cs="Times New Roman"/>
          <w:bCs/>
          <w:szCs w:val="21"/>
          <w:highlight w:val="none"/>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同时请注意：“□本企业制造的货物” 、“□提供其他</w:t>
      </w:r>
      <w:r>
        <w:rPr>
          <w:rFonts w:ascii="Times New Roman" w:hAnsi="Times New Roman" w:cs="Times New Roman"/>
          <w:bCs/>
          <w:szCs w:val="21"/>
          <w:highlight w:val="none"/>
          <w:u w:val="single"/>
        </w:rPr>
        <w:t>______</w:t>
      </w:r>
      <w:r>
        <w:rPr>
          <w:rFonts w:ascii="Times New Roman" w:hAnsi="Times New Roman" w:cs="Times New Roman"/>
          <w:bCs/>
          <w:szCs w:val="21"/>
          <w:highlight w:val="none"/>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color w:val="FF0000"/>
          <w:highlight w:val="none"/>
        </w:rPr>
      </w:pPr>
      <w:r>
        <w:rPr>
          <w:rFonts w:ascii="Times New Roman" w:hAnsi="Times New Roman" w:cs="Times New Roman"/>
          <w:b/>
          <w:bCs/>
          <w:color w:val="FF0000"/>
          <w:highlight w:val="none"/>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color w:val="FF0000"/>
          <w:highlight w:val="none"/>
        </w:rPr>
        <w:t>。</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highlight w:val="none"/>
        </w:rPr>
      </w:pPr>
      <w:r>
        <w:rPr>
          <w:rFonts w:ascii="Times New Roman" w:hAnsi="Times New Roman" w:cs="Times New Roman"/>
          <w:bCs/>
          <w:szCs w:val="21"/>
          <w:highlight w:val="none"/>
        </w:rPr>
        <w:t>5.声明函的有效性最终由评审委员会判定。</w:t>
      </w:r>
      <w:r>
        <w:rPr>
          <w:rFonts w:ascii="Times New Roman" w:hAnsi="Times New Roman" w:cs="Times New Roman"/>
          <w:szCs w:val="21"/>
          <w:highlight w:val="none"/>
        </w:rPr>
        <w:br w:type="page"/>
      </w:r>
    </w:p>
    <w:p>
      <w:pPr>
        <w:spacing w:line="240" w:lineRule="auto"/>
        <w:ind w:firstLine="643" w:firstLineChars="200"/>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t>（一）中小企业声明函（样表）</w:t>
      </w:r>
    </w:p>
    <w:p>
      <w:pPr>
        <w:spacing w:line="240" w:lineRule="auto"/>
        <w:ind w:firstLine="420" w:firstLineChars="200"/>
        <w:jc w:val="left"/>
        <w:rPr>
          <w:rFonts w:ascii="Times New Roman" w:hAnsi="Times New Roman" w:cs="Times New Roman"/>
          <w:szCs w:val="21"/>
          <w:highlight w:val="none"/>
        </w:rPr>
      </w:pP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本公司郑重声明，根据《关于印发&lt;政府采购促进中小企业发展管理办法&gt;的通知》（财库〔2020〕46号）的规定，本公司（联合体）参加</w:t>
      </w:r>
      <w:r>
        <w:rPr>
          <w:rFonts w:hint="eastAsia" w:ascii="Times New Roman" w:hAnsi="Times New Roman" w:cs="Times New Roman"/>
          <w:b/>
          <w:bCs/>
          <w:szCs w:val="21"/>
          <w:highlight w:val="none"/>
          <w:u w:val="single"/>
        </w:rPr>
        <w:t xml:space="preserve"> </w:t>
      </w:r>
      <w:r>
        <w:rPr>
          <w:rFonts w:ascii="Times New Roman" w:hAnsi="Times New Roman" w:cs="Times New Roman"/>
          <w:b/>
          <w:bCs/>
          <w:szCs w:val="21"/>
          <w:highlight w:val="none"/>
          <w:u w:val="single"/>
        </w:rPr>
        <w:t xml:space="preserve">(采购单位名称) </w:t>
      </w:r>
      <w:r>
        <w:rPr>
          <w:rFonts w:ascii="Times New Roman" w:hAnsi="Times New Roman" w:cs="Times New Roman"/>
          <w:szCs w:val="21"/>
          <w:highlight w:val="none"/>
        </w:rPr>
        <w:t>的</w:t>
      </w:r>
      <w:r>
        <w:rPr>
          <w:rFonts w:ascii="Times New Roman" w:hAnsi="Times New Roman" w:cs="Times New Roman"/>
          <w:b/>
          <w:bCs/>
          <w:szCs w:val="21"/>
          <w:highlight w:val="none"/>
          <w:u w:val="single"/>
        </w:rPr>
        <w:t>（采购项目名称）</w:t>
      </w:r>
      <w:r>
        <w:rPr>
          <w:rFonts w:hint="eastAsia" w:ascii="Times New Roman" w:hAnsi="Times New Roman" w:cs="Times New Roman"/>
          <w:b/>
          <w:bCs/>
          <w:szCs w:val="21"/>
          <w:highlight w:val="none"/>
          <w:u w:val="single"/>
        </w:rPr>
        <w:t xml:space="preserve"> </w:t>
      </w:r>
      <w:r>
        <w:rPr>
          <w:rFonts w:ascii="Times New Roman" w:hAnsi="Times New Roman" w:cs="Times New Roman"/>
          <w:szCs w:val="21"/>
          <w:highlight w:val="none"/>
        </w:rPr>
        <w:t>采购活动，</w:t>
      </w:r>
      <w:r>
        <w:rPr>
          <w:rFonts w:ascii="Times New Roman" w:hAnsi="Times New Roman" w:cs="Times New Roman"/>
          <w:szCs w:val="21"/>
          <w:highlight w:val="none"/>
          <w:u w:val="single"/>
        </w:rPr>
        <w:t>________________________</w:t>
      </w:r>
      <w:r>
        <w:rPr>
          <w:rFonts w:ascii="Times New Roman" w:hAnsi="Times New Roman" w:cs="Times New Roman"/>
          <w:szCs w:val="21"/>
          <w:highlight w:val="none"/>
        </w:rPr>
        <w:t>（填写说明：</w:t>
      </w:r>
      <w:r>
        <w:rPr>
          <w:rFonts w:ascii="Times New Roman" w:hAnsi="Times New Roman" w:cs="Times New Roman"/>
          <w:b/>
          <w:bCs/>
          <w:szCs w:val="21"/>
          <w:highlight w:val="none"/>
        </w:rPr>
        <w:t>货物类：提供的货物全部由符合政策要求的中小企业制造。</w:t>
      </w:r>
      <w:r>
        <w:rPr>
          <w:rFonts w:ascii="Times New Roman" w:hAnsi="Times New Roman" w:cs="Times New Roman"/>
          <w:szCs w:val="21"/>
          <w:highlight w:val="none"/>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w:t>
      </w:r>
      <w:r>
        <w:rPr>
          <w:rFonts w:ascii="Times New Roman" w:hAnsi="Times New Roman" w:cs="Times New Roman"/>
          <w:b/>
          <w:bCs/>
          <w:szCs w:val="21"/>
          <w:highlight w:val="none"/>
          <w:u w:val="single"/>
        </w:rPr>
        <w:t>（标的名称）</w:t>
      </w:r>
      <w:r>
        <w:rPr>
          <w:rFonts w:ascii="Times New Roman" w:hAnsi="Times New Roman" w:cs="Times New Roman"/>
          <w:szCs w:val="21"/>
          <w:highlight w:val="none"/>
        </w:rPr>
        <w:t>，属于</w:t>
      </w:r>
      <w:r>
        <w:rPr>
          <w:rFonts w:ascii="Times New Roman" w:hAnsi="Times New Roman" w:cs="Times New Roman"/>
          <w:b/>
          <w:bCs/>
          <w:szCs w:val="21"/>
          <w:highlight w:val="none"/>
          <w:u w:val="single"/>
        </w:rPr>
        <w:t>（采购文件中明确的所属行业）</w:t>
      </w:r>
      <w:r>
        <w:rPr>
          <w:rFonts w:ascii="Times New Roman" w:hAnsi="Times New Roman" w:cs="Times New Roman"/>
          <w:szCs w:val="21"/>
          <w:highlight w:val="none"/>
        </w:rPr>
        <w:t>；承建（承接）企业为（企业名称），从业人员</w:t>
      </w:r>
      <w:r>
        <w:rPr>
          <w:rFonts w:ascii="Times New Roman" w:hAnsi="Times New Roman" w:cs="Times New Roman"/>
          <w:szCs w:val="21"/>
          <w:highlight w:val="none"/>
          <w:u w:val="single"/>
        </w:rPr>
        <w:t>____</w:t>
      </w:r>
      <w:r>
        <w:rPr>
          <w:rFonts w:ascii="Times New Roman" w:hAnsi="Times New Roman" w:cs="Times New Roman"/>
          <w:szCs w:val="21"/>
          <w:highlight w:val="none"/>
        </w:rPr>
        <w:t>人，营业收入为</w:t>
      </w:r>
      <w:r>
        <w:rPr>
          <w:rFonts w:ascii="Times New Roman" w:hAnsi="Times New Roman" w:cs="Times New Roman"/>
          <w:szCs w:val="21"/>
          <w:highlight w:val="none"/>
          <w:u w:val="single"/>
        </w:rPr>
        <w:t>____</w:t>
      </w:r>
      <w:r>
        <w:rPr>
          <w:rFonts w:ascii="Times New Roman" w:hAnsi="Times New Roman" w:cs="Times New Roman"/>
          <w:szCs w:val="21"/>
          <w:highlight w:val="none"/>
        </w:rPr>
        <w:t>万元，资产总额为</w:t>
      </w:r>
      <w:r>
        <w:rPr>
          <w:rFonts w:ascii="Times New Roman" w:hAnsi="Times New Roman" w:cs="Times New Roman"/>
          <w:szCs w:val="21"/>
          <w:highlight w:val="none"/>
          <w:u w:val="single"/>
        </w:rPr>
        <w:t>____</w:t>
      </w:r>
      <w:r>
        <w:rPr>
          <w:rFonts w:ascii="Times New Roman" w:hAnsi="Times New Roman" w:cs="Times New Roman"/>
          <w:szCs w:val="21"/>
          <w:highlight w:val="none"/>
        </w:rPr>
        <w:t>万元1，属于（中型企业、小型企业、微型企业）；</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w:t>
      </w:r>
      <w:r>
        <w:rPr>
          <w:rFonts w:ascii="Times New Roman" w:hAnsi="Times New Roman" w:cs="Times New Roman"/>
          <w:b/>
          <w:bCs/>
          <w:szCs w:val="21"/>
          <w:highlight w:val="none"/>
          <w:u w:val="single"/>
        </w:rPr>
        <w:t>（标的名称）</w:t>
      </w:r>
      <w:r>
        <w:rPr>
          <w:rFonts w:ascii="Times New Roman" w:hAnsi="Times New Roman" w:cs="Times New Roman"/>
          <w:szCs w:val="21"/>
          <w:highlight w:val="none"/>
        </w:rPr>
        <w:t>，属于</w:t>
      </w:r>
      <w:r>
        <w:rPr>
          <w:rFonts w:ascii="Times New Roman" w:hAnsi="Times New Roman" w:cs="Times New Roman"/>
          <w:b/>
          <w:bCs/>
          <w:szCs w:val="21"/>
          <w:highlight w:val="none"/>
          <w:u w:val="single"/>
        </w:rPr>
        <w:t>（采购文件中明确的所属行业）</w:t>
      </w:r>
      <w:r>
        <w:rPr>
          <w:rFonts w:ascii="Times New Roman" w:hAnsi="Times New Roman" w:cs="Times New Roman"/>
          <w:szCs w:val="21"/>
          <w:highlight w:val="none"/>
        </w:rPr>
        <w:t>；承建（承接）企业为（企业名称），从业人员</w:t>
      </w:r>
      <w:r>
        <w:rPr>
          <w:rFonts w:ascii="Times New Roman" w:hAnsi="Times New Roman" w:cs="Times New Roman"/>
          <w:szCs w:val="21"/>
          <w:highlight w:val="none"/>
          <w:u w:val="single"/>
        </w:rPr>
        <w:t>____</w:t>
      </w:r>
      <w:r>
        <w:rPr>
          <w:rFonts w:ascii="Times New Roman" w:hAnsi="Times New Roman" w:cs="Times New Roman"/>
          <w:szCs w:val="21"/>
          <w:highlight w:val="none"/>
        </w:rPr>
        <w:t>人，营业收入为</w:t>
      </w:r>
      <w:r>
        <w:rPr>
          <w:rFonts w:ascii="Times New Roman" w:hAnsi="Times New Roman" w:cs="Times New Roman"/>
          <w:szCs w:val="21"/>
          <w:highlight w:val="none"/>
          <w:u w:val="single"/>
        </w:rPr>
        <w:t>____</w:t>
      </w:r>
      <w:r>
        <w:rPr>
          <w:rFonts w:ascii="Times New Roman" w:hAnsi="Times New Roman" w:cs="Times New Roman"/>
          <w:szCs w:val="21"/>
          <w:highlight w:val="none"/>
        </w:rPr>
        <w:t>万元，资产总额为</w:t>
      </w:r>
      <w:r>
        <w:rPr>
          <w:rFonts w:ascii="Times New Roman" w:hAnsi="Times New Roman" w:cs="Times New Roman"/>
          <w:szCs w:val="21"/>
          <w:highlight w:val="none"/>
          <w:u w:val="single"/>
        </w:rPr>
        <w:t>____</w:t>
      </w:r>
      <w:r>
        <w:rPr>
          <w:rFonts w:ascii="Times New Roman" w:hAnsi="Times New Roman" w:cs="Times New Roman"/>
          <w:szCs w:val="21"/>
          <w:highlight w:val="none"/>
        </w:rPr>
        <w:t>万元，属于（中型企业、小型企业、微型企业）；</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本企业对上述声明内容的真实性负责。如有虚假，将依法承担相应责任。</w:t>
      </w:r>
    </w:p>
    <w:p>
      <w:pPr>
        <w:spacing w:line="240" w:lineRule="auto"/>
        <w:ind w:firstLine="420" w:firstLineChars="200"/>
        <w:rPr>
          <w:rFonts w:ascii="Times New Roman" w:hAnsi="Times New Roman" w:cs="Times New Roman"/>
          <w:szCs w:val="21"/>
          <w:highlight w:val="none"/>
        </w:rPr>
      </w:pP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企业名称（盖章）：</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日期：</w:t>
      </w:r>
    </w:p>
    <w:p>
      <w:pPr>
        <w:spacing w:line="240" w:lineRule="auto"/>
        <w:ind w:firstLine="420" w:firstLineChars="200"/>
        <w:rPr>
          <w:rFonts w:ascii="Times New Roman" w:hAnsi="Times New Roman" w:cs="Times New Roman"/>
          <w:szCs w:val="21"/>
          <w:highlight w:val="none"/>
        </w:rPr>
      </w:pP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备注：1、从业人员、营业收入、资产总额填报上一年度数据，无上一年度数据的新成立企业可不填报。</w:t>
      </w:r>
    </w:p>
    <w:p>
      <w:pPr>
        <w:ind w:firstLine="420"/>
        <w:rPr>
          <w:rFonts w:ascii="Times New Roman" w:hAnsi="Times New Roman" w:cs="Times New Roman"/>
          <w:highlight w:val="none"/>
        </w:rPr>
      </w:pPr>
    </w:p>
    <w:p>
      <w:pPr>
        <w:ind w:firstLine="420"/>
        <w:rPr>
          <w:rFonts w:ascii="Times New Roman" w:hAnsi="Times New Roman" w:cs="Times New Roman"/>
          <w:highlight w:val="none"/>
        </w:rPr>
      </w:pPr>
    </w:p>
    <w:p>
      <w:pPr>
        <w:spacing w:line="240" w:lineRule="auto"/>
        <w:ind w:firstLine="643" w:firstLineChars="200"/>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t>（</w:t>
      </w:r>
      <w:r>
        <w:rPr>
          <w:rFonts w:hint="eastAsia" w:ascii="Times New Roman" w:hAnsi="Times New Roman" w:cs="Times New Roman"/>
          <w:b/>
          <w:sz w:val="32"/>
          <w:szCs w:val="32"/>
          <w:highlight w:val="none"/>
        </w:rPr>
        <w:t>二</w:t>
      </w:r>
      <w:r>
        <w:rPr>
          <w:rFonts w:ascii="Times New Roman" w:hAnsi="Times New Roman" w:cs="Times New Roman"/>
          <w:b/>
          <w:sz w:val="32"/>
          <w:szCs w:val="32"/>
          <w:highlight w:val="none"/>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highlight w:val="none"/>
        </w:rPr>
      </w:pP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highlight w:val="none"/>
          <w:u w:val="single"/>
        </w:rPr>
        <w:t>（采购单位名称）</w:t>
      </w:r>
      <w:r>
        <w:rPr>
          <w:rFonts w:ascii="Times New Roman" w:hAnsi="Times New Roman" w:cs="Times New Roman"/>
          <w:szCs w:val="21"/>
          <w:highlight w:val="none"/>
        </w:rPr>
        <w:t>单位的</w:t>
      </w:r>
      <w:r>
        <w:rPr>
          <w:rFonts w:ascii="Times New Roman" w:hAnsi="Times New Roman" w:cs="Times New Roman"/>
          <w:b/>
          <w:bCs/>
          <w:szCs w:val="21"/>
          <w:highlight w:val="none"/>
          <w:u w:val="single"/>
        </w:rPr>
        <w:t>（采购项目名称）</w:t>
      </w:r>
      <w:r>
        <w:rPr>
          <w:rFonts w:ascii="Times New Roman" w:hAnsi="Times New Roman" w:cs="Times New Roman"/>
          <w:szCs w:val="21"/>
          <w:highlight w:val="none"/>
        </w:rPr>
        <w:t>项目采购活动，并提供:</w:t>
      </w:r>
      <w:r>
        <w:rPr>
          <w:rFonts w:ascii="Times New Roman" w:hAnsi="Times New Roman" w:cs="Times New Roman"/>
          <w:b/>
          <w:bCs/>
          <w:szCs w:val="21"/>
          <w:highlight w:val="none"/>
        </w:rPr>
        <w:t>□本单位制造的货物</w:t>
      </w:r>
      <w:r>
        <w:rPr>
          <w:rFonts w:ascii="Times New Roman" w:hAnsi="Times New Roman" w:cs="Times New Roman"/>
          <w:szCs w:val="21"/>
          <w:highlight w:val="none"/>
        </w:rPr>
        <w:t>;□由本单位承担的工程、提供服务</w:t>
      </w:r>
      <w:r>
        <w:rPr>
          <w:rFonts w:ascii="Times New Roman" w:hAnsi="Times New Roman" w:cs="Times New Roman"/>
          <w:b/>
          <w:bCs/>
          <w:szCs w:val="21"/>
          <w:highlight w:val="none"/>
        </w:rPr>
        <w:t>;□提供其他监狱企业制造的货物（承诺人在□处打√）</w:t>
      </w:r>
      <w:r>
        <w:rPr>
          <w:rFonts w:ascii="Times New Roman" w:hAnsi="Times New Roman" w:cs="Times New Roman"/>
          <w:szCs w:val="21"/>
          <w:highlight w:val="none"/>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本单位对上述声明的真实性负责。如有虚假，将依法承担相应责任。</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highlight w:val="none"/>
        </w:rPr>
      </w:pPr>
      <w:r>
        <w:rPr>
          <w:rFonts w:ascii="Times New Roman" w:hAnsi="Times New Roman" w:cs="Times New Roman"/>
          <w:szCs w:val="21"/>
          <w:highlight w:val="none"/>
        </w:rPr>
        <w:t>单位名称（盖章）：</w:t>
      </w:r>
      <w:r>
        <w:rPr>
          <w:rFonts w:ascii="Times New Roman" w:hAnsi="Times New Roman" w:cs="Times New Roman"/>
          <w:szCs w:val="21"/>
          <w:highlight w:val="none"/>
          <w:u w:val="single"/>
        </w:rPr>
        <w:t>__________________</w:t>
      </w:r>
    </w:p>
    <w:p>
      <w:pPr>
        <w:spacing w:line="240" w:lineRule="auto"/>
        <w:ind w:firstLine="420" w:firstLineChars="200"/>
        <w:jc w:val="right"/>
        <w:rPr>
          <w:rFonts w:ascii="Times New Roman" w:hAnsi="Times New Roman" w:cs="Times New Roman"/>
          <w:szCs w:val="21"/>
          <w:highlight w:val="none"/>
        </w:rPr>
      </w:pPr>
      <w:r>
        <w:rPr>
          <w:rFonts w:ascii="Times New Roman" w:hAnsi="Times New Roman" w:cs="Times New Roman"/>
          <w:szCs w:val="21"/>
          <w:highlight w:val="none"/>
        </w:rPr>
        <w:t>日期：</w:t>
      </w:r>
      <w:r>
        <w:rPr>
          <w:rFonts w:ascii="Times New Roman" w:hAnsi="Times New Roman" w:cs="Times New Roman"/>
          <w:szCs w:val="21"/>
          <w:highlight w:val="none"/>
          <w:u w:val="single"/>
        </w:rPr>
        <w:t>_________________</w:t>
      </w:r>
    </w:p>
    <w:p>
      <w:pPr>
        <w:ind w:firstLine="420"/>
        <w:rPr>
          <w:rFonts w:ascii="Times New Roman" w:hAnsi="Times New Roman" w:cs="Times New Roman"/>
          <w:highlight w:val="none"/>
        </w:rPr>
      </w:pPr>
    </w:p>
    <w:p>
      <w:pPr>
        <w:ind w:firstLine="420"/>
        <w:rPr>
          <w:rFonts w:ascii="Times New Roman" w:hAnsi="Times New Roman" w:cs="Times New Roman"/>
          <w:highlight w:val="none"/>
        </w:rPr>
      </w:pPr>
    </w:p>
    <w:p>
      <w:pPr>
        <w:spacing w:line="240" w:lineRule="auto"/>
        <w:ind w:firstLine="643" w:firstLineChars="200"/>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t>（</w:t>
      </w:r>
      <w:r>
        <w:rPr>
          <w:rFonts w:hint="eastAsia" w:ascii="Times New Roman" w:hAnsi="Times New Roman" w:cs="Times New Roman"/>
          <w:b/>
          <w:sz w:val="32"/>
          <w:szCs w:val="32"/>
          <w:highlight w:val="none"/>
        </w:rPr>
        <w:t>三</w:t>
      </w:r>
      <w:r>
        <w:rPr>
          <w:rFonts w:ascii="Times New Roman" w:hAnsi="Times New Roman" w:cs="Times New Roman"/>
          <w:b/>
          <w:sz w:val="32"/>
          <w:szCs w:val="32"/>
          <w:highlight w:val="none"/>
        </w:rPr>
        <w:t>）含有小型、微型企业的联合体声明函（样表）</w:t>
      </w:r>
    </w:p>
    <w:p>
      <w:pPr>
        <w:spacing w:line="240" w:lineRule="auto"/>
        <w:ind w:firstLine="420" w:firstLineChars="200"/>
        <w:rPr>
          <w:rFonts w:ascii="Times New Roman" w:hAnsi="Times New Roman" w:cs="Times New Roman"/>
          <w:szCs w:val="21"/>
          <w:highlight w:val="none"/>
        </w:rPr>
      </w:pP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1.</w:t>
      </w:r>
      <w:r>
        <w:rPr>
          <w:rFonts w:ascii="Times New Roman" w:hAnsi="Times New Roman" w:cs="Times New Roman"/>
          <w:b/>
          <w:bCs/>
          <w:szCs w:val="21"/>
          <w:highlight w:val="none"/>
          <w:u w:val="single"/>
        </w:rPr>
        <w:t>（供应商名称、供应商名称）</w:t>
      </w:r>
      <w:r>
        <w:rPr>
          <w:rFonts w:ascii="Times New Roman" w:hAnsi="Times New Roman" w:cs="Times New Roman"/>
          <w:szCs w:val="21"/>
          <w:highlight w:val="none"/>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highlight w:val="none"/>
          <w:u w:val="single"/>
        </w:rPr>
        <w:t>_</w:t>
      </w:r>
      <w:r>
        <w:rPr>
          <w:rFonts w:ascii="Times New Roman" w:hAnsi="Times New Roman" w:cs="Times New Roman"/>
          <w:szCs w:val="21"/>
          <w:highlight w:val="none"/>
        </w:rPr>
        <w:t>号）规定的划分标准，本联合体中：□</w:t>
      </w:r>
      <w:r>
        <w:rPr>
          <w:rFonts w:ascii="Times New Roman" w:hAnsi="Times New Roman" w:cs="Times New Roman"/>
          <w:szCs w:val="21"/>
          <w:highlight w:val="none"/>
          <w:u w:val="single"/>
        </w:rPr>
        <w:t>______</w:t>
      </w:r>
      <w:r>
        <w:rPr>
          <w:rFonts w:ascii="Times New Roman" w:hAnsi="Times New Roman" w:cs="Times New Roman"/>
          <w:szCs w:val="21"/>
          <w:highlight w:val="none"/>
        </w:rPr>
        <w:t>单位为</w:t>
      </w:r>
      <w:r>
        <w:rPr>
          <w:rFonts w:ascii="Times New Roman" w:hAnsi="Times New Roman" w:cs="Times New Roman"/>
          <w:szCs w:val="21"/>
          <w:highlight w:val="none"/>
          <w:u w:val="single"/>
        </w:rPr>
        <w:t>______</w:t>
      </w:r>
      <w:r>
        <w:rPr>
          <w:rFonts w:ascii="Times New Roman" w:hAnsi="Times New Roman" w:cs="Times New Roman"/>
          <w:szCs w:val="21"/>
          <w:highlight w:val="none"/>
        </w:rPr>
        <w:t>（请填写：中型、小型、微型）企业，</w:t>
      </w:r>
      <w:r>
        <w:rPr>
          <w:rFonts w:ascii="Times New Roman" w:hAnsi="Times New Roman" w:cs="Times New Roman"/>
          <w:szCs w:val="21"/>
          <w:highlight w:val="none"/>
          <w:u w:val="single"/>
        </w:rPr>
        <w:t>______</w:t>
      </w:r>
      <w:r>
        <w:rPr>
          <w:rFonts w:ascii="Times New Roman" w:hAnsi="Times New Roman" w:cs="Times New Roman"/>
          <w:szCs w:val="21"/>
          <w:highlight w:val="none"/>
        </w:rPr>
        <w:t>单位为</w:t>
      </w:r>
      <w:r>
        <w:rPr>
          <w:rFonts w:ascii="Times New Roman" w:hAnsi="Times New Roman" w:cs="Times New Roman"/>
          <w:szCs w:val="21"/>
          <w:highlight w:val="none"/>
          <w:u w:val="single"/>
        </w:rPr>
        <w:t>______</w:t>
      </w:r>
      <w:r>
        <w:rPr>
          <w:rFonts w:ascii="Times New Roman" w:hAnsi="Times New Roman" w:cs="Times New Roman"/>
          <w:szCs w:val="21"/>
          <w:highlight w:val="none"/>
        </w:rPr>
        <w:t>（请填写：中型、小型、微型）企业；□联合体各方均为小微企业（承诺人在□处打√）。</w:t>
      </w: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2.本联合体参加</w:t>
      </w:r>
      <w:r>
        <w:rPr>
          <w:rFonts w:ascii="Times New Roman" w:hAnsi="Times New Roman" w:cs="Times New Roman"/>
          <w:b/>
          <w:bCs/>
          <w:szCs w:val="21"/>
          <w:highlight w:val="none"/>
          <w:u w:val="single"/>
        </w:rPr>
        <w:t>（采购单位名称）</w:t>
      </w:r>
      <w:r>
        <w:rPr>
          <w:rFonts w:ascii="Times New Roman" w:hAnsi="Times New Roman" w:cs="Times New Roman"/>
          <w:szCs w:val="21"/>
          <w:highlight w:val="none"/>
        </w:rPr>
        <w:t>单位的</w:t>
      </w:r>
      <w:r>
        <w:rPr>
          <w:rFonts w:ascii="Times New Roman" w:hAnsi="Times New Roman" w:cs="Times New Roman"/>
          <w:b/>
          <w:bCs/>
          <w:szCs w:val="21"/>
          <w:highlight w:val="none"/>
          <w:u w:val="single"/>
        </w:rPr>
        <w:t>（采购项目名称）</w:t>
      </w:r>
      <w:r>
        <w:rPr>
          <w:rFonts w:ascii="Times New Roman" w:hAnsi="Times New Roman" w:cs="Times New Roman"/>
          <w:szCs w:val="21"/>
          <w:highlight w:val="none"/>
        </w:rPr>
        <w:t>项目采购活动，其中，小型、微型企业协议合同金额占到联合体协议总金额比例为</w:t>
      </w:r>
      <w:r>
        <w:rPr>
          <w:rFonts w:ascii="Times New Roman" w:hAnsi="Times New Roman" w:cs="Times New Roman"/>
          <w:szCs w:val="21"/>
          <w:highlight w:val="none"/>
          <w:u w:val="single"/>
        </w:rPr>
        <w:t>_____</w:t>
      </w:r>
      <w:r>
        <w:rPr>
          <w:rFonts w:ascii="Times New Roman" w:hAnsi="Times New Roman" w:cs="Times New Roman"/>
          <w:szCs w:val="21"/>
          <w:highlight w:val="none"/>
        </w:rPr>
        <w:t>%（该合同金额为：</w:t>
      </w:r>
      <w:r>
        <w:rPr>
          <w:rFonts w:ascii="Times New Roman" w:hAnsi="Times New Roman" w:cs="Times New Roman"/>
          <w:b/>
          <w:bCs/>
          <w:szCs w:val="21"/>
          <w:highlight w:val="none"/>
        </w:rPr>
        <w:t>□小微企业制造的货物</w:t>
      </w:r>
      <w:r>
        <w:rPr>
          <w:rFonts w:ascii="Times New Roman" w:hAnsi="Times New Roman" w:cs="Times New Roman"/>
          <w:szCs w:val="21"/>
          <w:highlight w:val="none"/>
        </w:rPr>
        <w:t>，□小微企业承担的工程、提供服务，</w:t>
      </w:r>
      <w:r>
        <w:rPr>
          <w:rFonts w:ascii="Times New Roman" w:hAnsi="Times New Roman" w:cs="Times New Roman"/>
          <w:b/>
          <w:bCs/>
          <w:szCs w:val="21"/>
          <w:highlight w:val="none"/>
        </w:rPr>
        <w:t>□提供其他小微企业制造的货物；不包括使用大型企业注册商标的货物</w:t>
      </w:r>
      <w:r>
        <w:rPr>
          <w:rFonts w:ascii="Times New Roman" w:hAnsi="Times New Roman" w:cs="Times New Roman"/>
          <w:szCs w:val="21"/>
          <w:highlight w:val="none"/>
        </w:rPr>
        <w:t>；请承诺人在□处打√），符合《政府采购促进中小企业发展暂行办法》(财库〔2011〕181</w:t>
      </w:r>
      <w:r>
        <w:rPr>
          <w:rFonts w:ascii="Times New Roman" w:hAnsi="Times New Roman" w:cs="Times New Roman"/>
          <w:szCs w:val="21"/>
          <w:highlight w:val="none"/>
          <w:u w:val="single"/>
        </w:rPr>
        <w:t>_</w:t>
      </w:r>
      <w:r>
        <w:rPr>
          <w:rFonts w:ascii="Times New Roman" w:hAnsi="Times New Roman" w:cs="Times New Roman"/>
          <w:szCs w:val="21"/>
          <w:highlight w:val="none"/>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highlight w:val="none"/>
        </w:rPr>
      </w:pPr>
      <w:r>
        <w:rPr>
          <w:rFonts w:ascii="Times New Roman" w:hAnsi="Times New Roman" w:cs="Times New Roman"/>
          <w:szCs w:val="21"/>
          <w:highlight w:val="none"/>
        </w:rPr>
        <w:t>企业1名称（盖章）：</w:t>
      </w:r>
      <w:r>
        <w:rPr>
          <w:rFonts w:ascii="Times New Roman" w:hAnsi="Times New Roman" w:cs="Times New Roman"/>
          <w:szCs w:val="21"/>
          <w:highlight w:val="none"/>
          <w:u w:val="single"/>
        </w:rPr>
        <w:t>_______________________</w:t>
      </w:r>
      <w:r>
        <w:rPr>
          <w:rFonts w:ascii="Times New Roman" w:hAnsi="Times New Roman" w:cs="Times New Roman"/>
          <w:szCs w:val="21"/>
          <w:highlight w:val="none"/>
        </w:rPr>
        <w:t xml:space="preserve"> </w:t>
      </w:r>
    </w:p>
    <w:p>
      <w:pPr>
        <w:spacing w:line="240" w:lineRule="auto"/>
        <w:ind w:left="424" w:leftChars="202" w:firstLine="420"/>
        <w:jc w:val="left"/>
        <w:rPr>
          <w:rFonts w:ascii="Times New Roman" w:hAnsi="Times New Roman" w:cs="Times New Roman"/>
          <w:szCs w:val="21"/>
          <w:highlight w:val="none"/>
        </w:rPr>
      </w:pPr>
      <w:r>
        <w:rPr>
          <w:rFonts w:ascii="Times New Roman" w:hAnsi="Times New Roman" w:cs="Times New Roman"/>
          <w:szCs w:val="21"/>
          <w:highlight w:val="none"/>
        </w:rPr>
        <w:t>日期：</w:t>
      </w:r>
      <w:r>
        <w:rPr>
          <w:rFonts w:ascii="Times New Roman" w:hAnsi="Times New Roman" w:cs="Times New Roman"/>
          <w:szCs w:val="21"/>
          <w:highlight w:val="none"/>
          <w:u w:val="single"/>
        </w:rPr>
        <w:t>_____________________________________</w:t>
      </w:r>
      <w:r>
        <w:rPr>
          <w:rFonts w:ascii="Times New Roman" w:hAnsi="Times New Roman" w:cs="Times New Roman"/>
          <w:szCs w:val="21"/>
          <w:highlight w:val="none"/>
        </w:rPr>
        <w:t xml:space="preserve"> </w:t>
      </w:r>
    </w:p>
    <w:p>
      <w:pPr>
        <w:spacing w:line="240" w:lineRule="auto"/>
        <w:ind w:left="424" w:leftChars="202" w:firstLine="420"/>
        <w:jc w:val="left"/>
        <w:rPr>
          <w:rFonts w:ascii="Times New Roman" w:hAnsi="Times New Roman" w:cs="Times New Roman"/>
          <w:szCs w:val="21"/>
          <w:highlight w:val="none"/>
        </w:rPr>
      </w:pPr>
      <w:r>
        <w:rPr>
          <w:rFonts w:ascii="Times New Roman" w:hAnsi="Times New Roman" w:cs="Times New Roman"/>
          <w:szCs w:val="21"/>
          <w:highlight w:val="none"/>
        </w:rPr>
        <w:t>企业2名称（盖章）：</w:t>
      </w:r>
      <w:r>
        <w:rPr>
          <w:rFonts w:ascii="Times New Roman" w:hAnsi="Times New Roman" w:cs="Times New Roman"/>
          <w:szCs w:val="21"/>
          <w:highlight w:val="none"/>
          <w:u w:val="single"/>
        </w:rPr>
        <w:t>_______________________</w:t>
      </w:r>
    </w:p>
    <w:p>
      <w:pPr>
        <w:tabs>
          <w:tab w:val="clear" w:pos="426"/>
        </w:tabs>
        <w:spacing w:line="240" w:lineRule="auto"/>
        <w:ind w:left="424" w:leftChars="202" w:firstLine="420"/>
        <w:rPr>
          <w:rFonts w:ascii="Times New Roman" w:hAnsi="Times New Roman" w:cs="Times New Roman"/>
          <w:szCs w:val="21"/>
          <w:highlight w:val="none"/>
        </w:rPr>
      </w:pPr>
      <w:r>
        <w:rPr>
          <w:rFonts w:ascii="Times New Roman" w:hAnsi="Times New Roman" w:cs="Times New Roman"/>
          <w:szCs w:val="21"/>
          <w:highlight w:val="none"/>
        </w:rPr>
        <w:t>日期：</w:t>
      </w:r>
      <w:r>
        <w:rPr>
          <w:rFonts w:ascii="Times New Roman" w:hAnsi="Times New Roman" w:cs="Times New Roman"/>
          <w:szCs w:val="21"/>
          <w:highlight w:val="none"/>
          <w:u w:val="single"/>
        </w:rPr>
        <w:t>_____________________________________</w:t>
      </w:r>
    </w:p>
    <w:p>
      <w:pPr>
        <w:rPr>
          <w:rFonts w:hint="eastAsia"/>
          <w:szCs w:val="21"/>
          <w:highlight w:val="none"/>
        </w:rPr>
      </w:pPr>
      <w:r>
        <w:rPr>
          <w:rFonts w:hint="eastAsia"/>
          <w:szCs w:val="21"/>
          <w:highlight w:val="none"/>
        </w:rPr>
        <w:br w:type="page"/>
      </w:r>
    </w:p>
    <w:p>
      <w:pPr>
        <w:adjustRightInd/>
        <w:snapToGrid/>
        <w:spacing w:before="280" w:after="290" w:line="377" w:lineRule="auto"/>
        <w:outlineLvl w:val="2"/>
        <w:rPr>
          <w:rFonts w:hint="eastAsia"/>
          <w:b/>
          <w:sz w:val="24"/>
          <w:highlight w:val="none"/>
        </w:rPr>
      </w:pPr>
      <w:bookmarkStart w:id="135" w:name="_Toc17528"/>
      <w:r>
        <w:rPr>
          <w:rFonts w:hint="eastAsia"/>
          <w:b/>
          <w:sz w:val="24"/>
          <w:highlight w:val="none"/>
        </w:rPr>
        <w:t>格式15：残疾人福利性单位声明函</w:t>
      </w:r>
      <w:bookmarkEnd w:id="135"/>
    </w:p>
    <w:p>
      <w:pPr>
        <w:tabs>
          <w:tab w:val="clear" w:pos="426"/>
        </w:tabs>
        <w:spacing w:line="240" w:lineRule="auto"/>
        <w:ind w:left="-2" w:leftChars="-1" w:firstLine="420" w:firstLineChars="200"/>
        <w:rPr>
          <w:rFonts w:ascii="Times New Roman" w:hAnsi="Times New Roman" w:cs="Times New Roman"/>
          <w:bCs/>
          <w:szCs w:val="21"/>
          <w:highlight w:val="none"/>
        </w:rPr>
      </w:pPr>
      <w:r>
        <w:rPr>
          <w:rFonts w:hint="eastAsia" w:ascii="Times New Roman" w:hAnsi="Times New Roman" w:cs="Times New Roman"/>
          <w:bCs/>
          <w:szCs w:val="21"/>
          <w:highlight w:val="none"/>
        </w:rPr>
        <w:t>填写指引：声明是残疾人福利性单位须填写《残疾人福利性单位声明函》的三项内容（填写位置的字体已加粗），具体参照以上《中小企业声明函》填写要求执行。</w:t>
      </w:r>
    </w:p>
    <w:p>
      <w:pPr>
        <w:rPr>
          <w:rFonts w:hint="eastAsia"/>
          <w:highlight w:val="none"/>
        </w:rPr>
      </w:pPr>
    </w:p>
    <w:p>
      <w:pPr>
        <w:spacing w:line="240" w:lineRule="auto"/>
        <w:ind w:firstLine="643" w:firstLineChars="200"/>
        <w:jc w:val="center"/>
        <w:rPr>
          <w:rFonts w:ascii="Times New Roman" w:hAnsi="Times New Roman" w:cs="Times New Roman"/>
          <w:b/>
          <w:sz w:val="32"/>
          <w:szCs w:val="32"/>
          <w:highlight w:val="none"/>
        </w:rPr>
      </w:pPr>
      <w:r>
        <w:rPr>
          <w:rFonts w:ascii="Times New Roman" w:hAnsi="Times New Roman" w:cs="Times New Roman"/>
          <w:b/>
          <w:sz w:val="32"/>
          <w:szCs w:val="32"/>
          <w:highlight w:val="none"/>
        </w:rPr>
        <w:t>残疾人福利性单位声明函（样表）</w:t>
      </w:r>
    </w:p>
    <w:p>
      <w:pPr>
        <w:spacing w:line="240" w:lineRule="auto"/>
        <w:ind w:firstLine="420" w:firstLineChars="200"/>
        <w:rPr>
          <w:rFonts w:ascii="Times New Roman" w:hAnsi="Times New Roman" w:cs="Times New Roman"/>
          <w:szCs w:val="21"/>
          <w:highlight w:val="none"/>
        </w:rPr>
      </w:pPr>
    </w:p>
    <w:p>
      <w:pPr>
        <w:spacing w:line="240" w:lineRule="auto"/>
        <w:ind w:firstLine="420" w:firstLineChars="200"/>
        <w:rPr>
          <w:rFonts w:ascii="Times New Roman" w:hAnsi="Times New Roman" w:cs="Times New Roman"/>
          <w:szCs w:val="21"/>
          <w:highlight w:val="none"/>
        </w:rPr>
      </w:pPr>
      <w:r>
        <w:rPr>
          <w:rFonts w:ascii="Times New Roman" w:hAnsi="Times New Roman" w:cs="Times New Roman"/>
          <w:szCs w:val="21"/>
          <w:highlight w:val="none"/>
        </w:rPr>
        <w:t>本单位郑重声明，根据《财政部民政部中国残疾人联合会关于促进残疾人就业政府采购政策的通知》（财库〔2017〕141</w:t>
      </w:r>
      <w:r>
        <w:rPr>
          <w:rFonts w:ascii="Times New Roman" w:hAnsi="Times New Roman" w:cs="Times New Roman"/>
          <w:szCs w:val="21"/>
          <w:highlight w:val="none"/>
          <w:u w:val="single"/>
        </w:rPr>
        <w:t>_</w:t>
      </w:r>
      <w:r>
        <w:rPr>
          <w:rFonts w:ascii="Times New Roman" w:hAnsi="Times New Roman" w:cs="Times New Roman"/>
          <w:szCs w:val="21"/>
          <w:highlight w:val="none"/>
        </w:rPr>
        <w:t>号）的规定，本单位为符合条件的残疾人福利性单位，且本单位参加</w:t>
      </w:r>
      <w:r>
        <w:rPr>
          <w:rFonts w:ascii="Times New Roman" w:hAnsi="Times New Roman" w:cs="Times New Roman"/>
          <w:b/>
          <w:bCs/>
          <w:szCs w:val="21"/>
          <w:highlight w:val="none"/>
          <w:u w:val="single"/>
        </w:rPr>
        <w:t>（采购单位名称）</w:t>
      </w:r>
      <w:r>
        <w:rPr>
          <w:rFonts w:ascii="Times New Roman" w:hAnsi="Times New Roman" w:cs="Times New Roman"/>
          <w:szCs w:val="21"/>
          <w:highlight w:val="none"/>
        </w:rPr>
        <w:t>单位的</w:t>
      </w:r>
      <w:r>
        <w:rPr>
          <w:rFonts w:ascii="Times New Roman" w:hAnsi="Times New Roman" w:cs="Times New Roman"/>
          <w:b/>
          <w:bCs/>
          <w:szCs w:val="21"/>
          <w:highlight w:val="none"/>
          <w:u w:val="single"/>
        </w:rPr>
        <w:t>（采购项目名称）</w:t>
      </w:r>
      <w:r>
        <w:rPr>
          <w:rFonts w:ascii="Times New Roman" w:hAnsi="Times New Roman" w:cs="Times New Roman"/>
          <w:szCs w:val="21"/>
          <w:highlight w:val="none"/>
        </w:rPr>
        <w:t>项目采购活动，并提供:</w:t>
      </w:r>
      <w:r>
        <w:rPr>
          <w:rFonts w:ascii="Times New Roman" w:hAnsi="Times New Roman" w:cs="Times New Roman"/>
          <w:b/>
          <w:bCs/>
          <w:szCs w:val="21"/>
          <w:highlight w:val="none"/>
        </w:rPr>
        <w:t>□本单位制造的货物</w:t>
      </w:r>
      <w:r>
        <w:rPr>
          <w:rFonts w:ascii="Times New Roman" w:hAnsi="Times New Roman" w:cs="Times New Roman"/>
          <w:szCs w:val="21"/>
          <w:highlight w:val="none"/>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highlight w:val="none"/>
        </w:rPr>
      </w:pPr>
      <w:r>
        <w:rPr>
          <w:rFonts w:ascii="Times New Roman" w:hAnsi="Times New Roman" w:cs="Times New Roman"/>
          <w:szCs w:val="21"/>
          <w:highlight w:val="none"/>
        </w:rPr>
        <w:t>单位名称（盖章）：</w:t>
      </w:r>
      <w:r>
        <w:rPr>
          <w:rFonts w:ascii="Times New Roman" w:hAnsi="Times New Roman" w:cs="Times New Roman"/>
          <w:szCs w:val="21"/>
          <w:highlight w:val="none"/>
          <w:u w:val="single"/>
        </w:rPr>
        <w:t>__________________</w:t>
      </w:r>
    </w:p>
    <w:p>
      <w:pPr>
        <w:spacing w:line="240" w:lineRule="auto"/>
        <w:ind w:firstLine="420" w:firstLineChars="200"/>
        <w:jc w:val="right"/>
        <w:rPr>
          <w:rFonts w:ascii="Times New Roman" w:hAnsi="Times New Roman" w:cs="Times New Roman"/>
          <w:szCs w:val="21"/>
          <w:highlight w:val="none"/>
        </w:rPr>
      </w:pPr>
      <w:r>
        <w:rPr>
          <w:rFonts w:ascii="Times New Roman" w:hAnsi="Times New Roman" w:cs="Times New Roman"/>
          <w:szCs w:val="21"/>
          <w:highlight w:val="none"/>
        </w:rPr>
        <w:t>日期：</w:t>
      </w:r>
      <w:r>
        <w:rPr>
          <w:rFonts w:ascii="Times New Roman" w:hAnsi="Times New Roman" w:cs="Times New Roman"/>
          <w:szCs w:val="21"/>
          <w:highlight w:val="none"/>
          <w:u w:val="single"/>
        </w:rPr>
        <w:t>_________________</w:t>
      </w:r>
    </w:p>
    <w:p>
      <w:pPr>
        <w:tabs>
          <w:tab w:val="clear" w:pos="426"/>
        </w:tabs>
        <w:spacing w:line="440" w:lineRule="exact"/>
        <w:rPr>
          <w:rFonts w:hint="eastAsia"/>
          <w:b/>
          <w:bCs/>
          <w:highlight w:val="none"/>
        </w:rPr>
      </w:pPr>
    </w:p>
    <w:p>
      <w:pPr>
        <w:shd w:val="clear" w:color="auto" w:fill="auto"/>
        <w:tabs>
          <w:tab w:val="clear" w:pos="426"/>
        </w:tabs>
        <w:adjustRightInd/>
        <w:snapToGrid/>
        <w:spacing w:line="240" w:lineRule="auto"/>
        <w:jc w:val="left"/>
        <w:rPr>
          <w:rFonts w:hint="eastAsia"/>
          <w:b/>
          <w:bCs/>
          <w:highlight w:val="none"/>
        </w:rPr>
      </w:pPr>
      <w:r>
        <w:rPr>
          <w:rFonts w:hint="eastAsia"/>
          <w:b/>
          <w:bCs/>
          <w:highlight w:val="none"/>
        </w:rPr>
        <w:br w:type="page"/>
      </w:r>
    </w:p>
    <w:p>
      <w:pPr>
        <w:adjustRightInd/>
        <w:snapToGrid/>
        <w:spacing w:before="280" w:after="290" w:line="377" w:lineRule="auto"/>
        <w:outlineLvl w:val="2"/>
        <w:rPr>
          <w:rFonts w:hint="eastAsia"/>
          <w:b/>
          <w:sz w:val="24"/>
          <w:highlight w:val="none"/>
        </w:rPr>
      </w:pPr>
      <w:bookmarkStart w:id="136" w:name="_Toc14001"/>
      <w:r>
        <w:rPr>
          <w:rFonts w:hint="eastAsia"/>
          <w:b/>
          <w:sz w:val="24"/>
          <w:highlight w:val="none"/>
        </w:rPr>
        <w:t>格式16：同类项目业绩情况</w:t>
      </w:r>
      <w:bookmarkEnd w:id="136"/>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序号</w:t>
            </w:r>
          </w:p>
        </w:tc>
        <w:tc>
          <w:tcPr>
            <w:tcW w:w="2021"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项目名称</w:t>
            </w:r>
          </w:p>
        </w:tc>
        <w:tc>
          <w:tcPr>
            <w:tcW w:w="1487"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合同金额</w:t>
            </w:r>
          </w:p>
        </w:tc>
        <w:tc>
          <w:tcPr>
            <w:tcW w:w="1487"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签约日期</w:t>
            </w:r>
          </w:p>
        </w:tc>
        <w:tc>
          <w:tcPr>
            <w:tcW w:w="1488"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完工验收结果</w:t>
            </w:r>
          </w:p>
        </w:tc>
        <w:tc>
          <w:tcPr>
            <w:tcW w:w="1488"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1</w:t>
            </w:r>
          </w:p>
        </w:tc>
        <w:tc>
          <w:tcPr>
            <w:tcW w:w="2021" w:type="dxa"/>
            <w:vAlign w:val="center"/>
          </w:tcPr>
          <w:p>
            <w:pPr>
              <w:widowControl w:val="0"/>
              <w:shd w:val="clear" w:color="auto" w:fill="auto"/>
              <w:tabs>
                <w:tab w:val="clear" w:pos="426"/>
              </w:tabs>
              <w:spacing w:line="240" w:lineRule="auto"/>
              <w:jc w:val="center"/>
              <w:rPr>
                <w:rFonts w:hint="eastAsia"/>
                <w:b/>
                <w:bCs/>
                <w:highlight w:val="none"/>
              </w:rPr>
            </w:pPr>
          </w:p>
        </w:tc>
        <w:tc>
          <w:tcPr>
            <w:tcW w:w="1487" w:type="dxa"/>
            <w:vAlign w:val="center"/>
          </w:tcPr>
          <w:p>
            <w:pPr>
              <w:widowControl w:val="0"/>
              <w:shd w:val="clear" w:color="auto" w:fill="auto"/>
              <w:tabs>
                <w:tab w:val="clear" w:pos="426"/>
              </w:tabs>
              <w:spacing w:line="240" w:lineRule="auto"/>
              <w:jc w:val="center"/>
              <w:rPr>
                <w:rFonts w:hint="eastAsia"/>
                <w:b/>
                <w:bCs/>
                <w:highlight w:val="none"/>
              </w:rPr>
            </w:pPr>
          </w:p>
        </w:tc>
        <w:tc>
          <w:tcPr>
            <w:tcW w:w="1487" w:type="dxa"/>
            <w:vAlign w:val="center"/>
          </w:tcPr>
          <w:p>
            <w:pPr>
              <w:widowControl w:val="0"/>
              <w:shd w:val="clear" w:color="auto" w:fill="auto"/>
              <w:tabs>
                <w:tab w:val="clear" w:pos="426"/>
              </w:tabs>
              <w:spacing w:line="240" w:lineRule="auto"/>
              <w:jc w:val="center"/>
              <w:rPr>
                <w:rFonts w:hint="eastAsia"/>
                <w:b/>
                <w:bCs/>
                <w:highlight w:val="none"/>
              </w:rPr>
            </w:pPr>
          </w:p>
        </w:tc>
        <w:tc>
          <w:tcPr>
            <w:tcW w:w="1488" w:type="dxa"/>
            <w:vAlign w:val="center"/>
          </w:tcPr>
          <w:p>
            <w:pPr>
              <w:widowControl w:val="0"/>
              <w:shd w:val="clear" w:color="auto" w:fill="auto"/>
              <w:tabs>
                <w:tab w:val="clear" w:pos="426"/>
              </w:tabs>
              <w:spacing w:line="240" w:lineRule="auto"/>
              <w:jc w:val="center"/>
              <w:rPr>
                <w:rFonts w:hint="eastAsia"/>
                <w:b/>
                <w:bCs/>
                <w:highlight w:val="none"/>
              </w:rPr>
            </w:pPr>
          </w:p>
        </w:tc>
        <w:tc>
          <w:tcPr>
            <w:tcW w:w="1488" w:type="dxa"/>
            <w:vAlign w:val="center"/>
          </w:tcPr>
          <w:p>
            <w:pPr>
              <w:widowControl w:val="0"/>
              <w:shd w:val="clear" w:color="auto" w:fill="auto"/>
              <w:tabs>
                <w:tab w:val="clear" w:pos="426"/>
              </w:tabs>
              <w:spacing w:line="240" w:lineRule="auto"/>
              <w:jc w:val="center"/>
              <w:rPr>
                <w:rFonts w:hint="eastAsia"/>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2</w:t>
            </w:r>
          </w:p>
        </w:tc>
        <w:tc>
          <w:tcPr>
            <w:tcW w:w="2021" w:type="dxa"/>
            <w:vAlign w:val="center"/>
          </w:tcPr>
          <w:p>
            <w:pPr>
              <w:widowControl w:val="0"/>
              <w:shd w:val="clear" w:color="auto" w:fill="auto"/>
              <w:tabs>
                <w:tab w:val="clear" w:pos="426"/>
              </w:tabs>
              <w:spacing w:line="240" w:lineRule="auto"/>
              <w:jc w:val="center"/>
              <w:rPr>
                <w:rFonts w:hint="eastAsia"/>
                <w:b/>
                <w:bCs/>
                <w:highlight w:val="none"/>
              </w:rPr>
            </w:pPr>
          </w:p>
        </w:tc>
        <w:tc>
          <w:tcPr>
            <w:tcW w:w="1487" w:type="dxa"/>
            <w:vAlign w:val="center"/>
          </w:tcPr>
          <w:p>
            <w:pPr>
              <w:widowControl w:val="0"/>
              <w:shd w:val="clear" w:color="auto" w:fill="auto"/>
              <w:tabs>
                <w:tab w:val="clear" w:pos="426"/>
              </w:tabs>
              <w:spacing w:line="240" w:lineRule="auto"/>
              <w:jc w:val="center"/>
              <w:rPr>
                <w:rFonts w:hint="eastAsia"/>
                <w:b/>
                <w:bCs/>
                <w:highlight w:val="none"/>
              </w:rPr>
            </w:pPr>
          </w:p>
        </w:tc>
        <w:tc>
          <w:tcPr>
            <w:tcW w:w="1487" w:type="dxa"/>
            <w:vAlign w:val="center"/>
          </w:tcPr>
          <w:p>
            <w:pPr>
              <w:widowControl w:val="0"/>
              <w:shd w:val="clear" w:color="auto" w:fill="auto"/>
              <w:tabs>
                <w:tab w:val="clear" w:pos="426"/>
              </w:tabs>
              <w:spacing w:line="240" w:lineRule="auto"/>
              <w:jc w:val="center"/>
              <w:rPr>
                <w:rFonts w:hint="eastAsia"/>
                <w:b/>
                <w:bCs/>
                <w:highlight w:val="none"/>
              </w:rPr>
            </w:pPr>
          </w:p>
        </w:tc>
        <w:tc>
          <w:tcPr>
            <w:tcW w:w="1488" w:type="dxa"/>
            <w:vAlign w:val="center"/>
          </w:tcPr>
          <w:p>
            <w:pPr>
              <w:widowControl w:val="0"/>
              <w:shd w:val="clear" w:color="auto" w:fill="auto"/>
              <w:tabs>
                <w:tab w:val="clear" w:pos="426"/>
              </w:tabs>
              <w:spacing w:line="240" w:lineRule="auto"/>
              <w:jc w:val="center"/>
              <w:rPr>
                <w:rFonts w:hint="eastAsia"/>
                <w:b/>
                <w:bCs/>
                <w:highlight w:val="none"/>
              </w:rPr>
            </w:pPr>
          </w:p>
        </w:tc>
        <w:tc>
          <w:tcPr>
            <w:tcW w:w="1488" w:type="dxa"/>
            <w:vAlign w:val="center"/>
          </w:tcPr>
          <w:p>
            <w:pPr>
              <w:widowControl w:val="0"/>
              <w:shd w:val="clear" w:color="auto" w:fill="auto"/>
              <w:tabs>
                <w:tab w:val="clear" w:pos="426"/>
              </w:tabs>
              <w:spacing w:line="240" w:lineRule="auto"/>
              <w:jc w:val="center"/>
              <w:rPr>
                <w:rFonts w:hint="eastAsia"/>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highlight w:val="none"/>
              </w:rPr>
            </w:pPr>
            <w:r>
              <w:rPr>
                <w:rFonts w:hint="eastAsia"/>
                <w:b/>
                <w:bCs/>
                <w:highlight w:val="none"/>
              </w:rPr>
              <w:t>3</w:t>
            </w:r>
          </w:p>
        </w:tc>
        <w:tc>
          <w:tcPr>
            <w:tcW w:w="2021" w:type="dxa"/>
            <w:vAlign w:val="center"/>
          </w:tcPr>
          <w:p>
            <w:pPr>
              <w:widowControl w:val="0"/>
              <w:shd w:val="clear" w:color="auto" w:fill="auto"/>
              <w:tabs>
                <w:tab w:val="clear" w:pos="426"/>
              </w:tabs>
              <w:spacing w:line="240" w:lineRule="auto"/>
              <w:jc w:val="center"/>
              <w:rPr>
                <w:rFonts w:hint="eastAsia"/>
                <w:b/>
                <w:bCs/>
                <w:highlight w:val="none"/>
              </w:rPr>
            </w:pPr>
          </w:p>
        </w:tc>
        <w:tc>
          <w:tcPr>
            <w:tcW w:w="1487" w:type="dxa"/>
            <w:vAlign w:val="center"/>
          </w:tcPr>
          <w:p>
            <w:pPr>
              <w:widowControl w:val="0"/>
              <w:shd w:val="clear" w:color="auto" w:fill="auto"/>
              <w:tabs>
                <w:tab w:val="clear" w:pos="426"/>
              </w:tabs>
              <w:spacing w:line="240" w:lineRule="auto"/>
              <w:jc w:val="center"/>
              <w:rPr>
                <w:rFonts w:hint="eastAsia"/>
                <w:b/>
                <w:bCs/>
                <w:highlight w:val="none"/>
              </w:rPr>
            </w:pPr>
          </w:p>
        </w:tc>
        <w:tc>
          <w:tcPr>
            <w:tcW w:w="1487" w:type="dxa"/>
            <w:vAlign w:val="center"/>
          </w:tcPr>
          <w:p>
            <w:pPr>
              <w:widowControl w:val="0"/>
              <w:shd w:val="clear" w:color="auto" w:fill="auto"/>
              <w:tabs>
                <w:tab w:val="clear" w:pos="426"/>
              </w:tabs>
              <w:spacing w:line="240" w:lineRule="auto"/>
              <w:jc w:val="center"/>
              <w:rPr>
                <w:rFonts w:hint="eastAsia"/>
                <w:b/>
                <w:bCs/>
                <w:highlight w:val="none"/>
              </w:rPr>
            </w:pPr>
          </w:p>
        </w:tc>
        <w:tc>
          <w:tcPr>
            <w:tcW w:w="1488" w:type="dxa"/>
            <w:vAlign w:val="center"/>
          </w:tcPr>
          <w:p>
            <w:pPr>
              <w:widowControl w:val="0"/>
              <w:shd w:val="clear" w:color="auto" w:fill="auto"/>
              <w:tabs>
                <w:tab w:val="clear" w:pos="426"/>
              </w:tabs>
              <w:spacing w:line="240" w:lineRule="auto"/>
              <w:jc w:val="center"/>
              <w:rPr>
                <w:rFonts w:hint="eastAsia"/>
                <w:b/>
                <w:bCs/>
                <w:highlight w:val="none"/>
              </w:rPr>
            </w:pPr>
          </w:p>
        </w:tc>
        <w:tc>
          <w:tcPr>
            <w:tcW w:w="1488" w:type="dxa"/>
            <w:vAlign w:val="center"/>
          </w:tcPr>
          <w:p>
            <w:pPr>
              <w:widowControl w:val="0"/>
              <w:shd w:val="clear" w:color="auto" w:fill="auto"/>
              <w:tabs>
                <w:tab w:val="clear" w:pos="426"/>
              </w:tabs>
              <w:spacing w:line="240" w:lineRule="auto"/>
              <w:jc w:val="center"/>
              <w:rPr>
                <w:rFonts w:hint="eastAsia"/>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rFonts w:hint="eastAsia"/>
                <w:b/>
                <w:bCs/>
                <w:highlight w:val="none"/>
              </w:rPr>
            </w:pPr>
            <w:r>
              <w:rPr>
                <w:b/>
                <w:bCs/>
                <w:highlight w:val="none"/>
              </w:rPr>
              <w:t>……</w:t>
            </w:r>
          </w:p>
        </w:tc>
        <w:tc>
          <w:tcPr>
            <w:tcW w:w="2021" w:type="dxa"/>
            <w:vAlign w:val="center"/>
          </w:tcPr>
          <w:p>
            <w:pPr>
              <w:widowControl w:val="0"/>
              <w:shd w:val="clear" w:color="auto" w:fill="auto"/>
              <w:tabs>
                <w:tab w:val="clear" w:pos="426"/>
              </w:tabs>
              <w:spacing w:line="240" w:lineRule="auto"/>
              <w:jc w:val="center"/>
              <w:rPr>
                <w:rFonts w:hint="eastAsia"/>
                <w:b/>
                <w:bCs/>
                <w:highlight w:val="none"/>
              </w:rPr>
            </w:pPr>
          </w:p>
        </w:tc>
        <w:tc>
          <w:tcPr>
            <w:tcW w:w="1487" w:type="dxa"/>
            <w:vAlign w:val="center"/>
          </w:tcPr>
          <w:p>
            <w:pPr>
              <w:widowControl w:val="0"/>
              <w:shd w:val="clear" w:color="auto" w:fill="auto"/>
              <w:tabs>
                <w:tab w:val="clear" w:pos="426"/>
              </w:tabs>
              <w:spacing w:line="240" w:lineRule="auto"/>
              <w:jc w:val="center"/>
              <w:rPr>
                <w:rFonts w:hint="eastAsia"/>
                <w:b/>
                <w:bCs/>
                <w:highlight w:val="none"/>
              </w:rPr>
            </w:pPr>
          </w:p>
        </w:tc>
        <w:tc>
          <w:tcPr>
            <w:tcW w:w="1487" w:type="dxa"/>
            <w:vAlign w:val="center"/>
          </w:tcPr>
          <w:p>
            <w:pPr>
              <w:widowControl w:val="0"/>
              <w:shd w:val="clear" w:color="auto" w:fill="auto"/>
              <w:tabs>
                <w:tab w:val="clear" w:pos="426"/>
              </w:tabs>
              <w:spacing w:line="240" w:lineRule="auto"/>
              <w:jc w:val="center"/>
              <w:rPr>
                <w:rFonts w:hint="eastAsia"/>
                <w:b/>
                <w:bCs/>
                <w:highlight w:val="none"/>
              </w:rPr>
            </w:pPr>
          </w:p>
        </w:tc>
        <w:tc>
          <w:tcPr>
            <w:tcW w:w="1488" w:type="dxa"/>
            <w:vAlign w:val="center"/>
          </w:tcPr>
          <w:p>
            <w:pPr>
              <w:widowControl w:val="0"/>
              <w:shd w:val="clear" w:color="auto" w:fill="auto"/>
              <w:tabs>
                <w:tab w:val="clear" w:pos="426"/>
              </w:tabs>
              <w:spacing w:line="240" w:lineRule="auto"/>
              <w:jc w:val="center"/>
              <w:rPr>
                <w:rFonts w:hint="eastAsia"/>
                <w:b/>
                <w:bCs/>
                <w:highlight w:val="none"/>
              </w:rPr>
            </w:pPr>
          </w:p>
        </w:tc>
        <w:tc>
          <w:tcPr>
            <w:tcW w:w="1488" w:type="dxa"/>
            <w:vAlign w:val="center"/>
          </w:tcPr>
          <w:p>
            <w:pPr>
              <w:widowControl w:val="0"/>
              <w:shd w:val="clear" w:color="auto" w:fill="auto"/>
              <w:tabs>
                <w:tab w:val="clear" w:pos="426"/>
              </w:tabs>
              <w:spacing w:line="240" w:lineRule="auto"/>
              <w:jc w:val="center"/>
              <w:rPr>
                <w:rFonts w:hint="eastAsia"/>
                <w:b/>
                <w:bCs/>
                <w:highlight w:val="none"/>
              </w:rPr>
            </w:pPr>
          </w:p>
        </w:tc>
      </w:tr>
    </w:tbl>
    <w:p>
      <w:pPr>
        <w:tabs>
          <w:tab w:val="clear" w:pos="426"/>
        </w:tabs>
        <w:spacing w:line="440" w:lineRule="exact"/>
        <w:rPr>
          <w:rFonts w:hint="eastAsia"/>
          <w:b/>
          <w:bCs/>
          <w:highlight w:val="none"/>
        </w:rPr>
      </w:pPr>
      <w:r>
        <w:rPr>
          <w:rFonts w:hint="eastAsia"/>
          <w:b/>
          <w:bCs/>
          <w:highlight w:val="none"/>
        </w:rPr>
        <w:t>备注：1.以上表格格式可根据评审表的要求调整，业绩证明材料及其他相关资料附后。</w:t>
      </w:r>
    </w:p>
    <w:p>
      <w:pPr>
        <w:shd w:val="clear" w:color="auto" w:fill="auto"/>
        <w:tabs>
          <w:tab w:val="clear" w:pos="426"/>
        </w:tabs>
        <w:adjustRightInd/>
        <w:snapToGrid/>
        <w:spacing w:line="240" w:lineRule="auto"/>
        <w:jc w:val="left"/>
        <w:rPr>
          <w:rFonts w:hint="eastAsia"/>
          <w:b/>
          <w:bCs/>
          <w:highlight w:val="none"/>
        </w:rPr>
      </w:pPr>
      <w:r>
        <w:rPr>
          <w:rFonts w:hint="eastAsia"/>
          <w:b/>
          <w:bCs/>
          <w:highlight w:val="none"/>
        </w:rPr>
        <w:br w:type="page"/>
      </w:r>
    </w:p>
    <w:p>
      <w:pPr>
        <w:adjustRightInd/>
        <w:snapToGrid/>
        <w:spacing w:before="280" w:after="290" w:line="377" w:lineRule="auto"/>
        <w:outlineLvl w:val="2"/>
        <w:rPr>
          <w:rFonts w:hint="eastAsia"/>
          <w:b/>
          <w:sz w:val="24"/>
          <w:highlight w:val="none"/>
        </w:rPr>
      </w:pPr>
      <w:bookmarkStart w:id="137" w:name="_Toc27416"/>
      <w:r>
        <w:rPr>
          <w:rFonts w:hint="eastAsia"/>
          <w:b/>
          <w:sz w:val="24"/>
          <w:highlight w:val="none"/>
        </w:rPr>
        <w:t>格式17：相关认证情况</w:t>
      </w:r>
      <w:bookmarkEnd w:id="137"/>
    </w:p>
    <w:p>
      <w:pPr>
        <w:tabs>
          <w:tab w:val="clear" w:pos="426"/>
        </w:tabs>
        <w:spacing w:line="440" w:lineRule="exact"/>
        <w:rPr>
          <w:rFonts w:hint="eastAsia"/>
          <w:b/>
          <w:bCs/>
          <w:highlight w:val="none"/>
        </w:rPr>
      </w:pPr>
    </w:p>
    <w:p>
      <w:pPr>
        <w:tabs>
          <w:tab w:val="clear" w:pos="426"/>
        </w:tabs>
        <w:spacing w:line="440" w:lineRule="exact"/>
        <w:rPr>
          <w:rFonts w:hint="eastAsia"/>
          <w:b/>
          <w:szCs w:val="21"/>
          <w:highlight w:val="none"/>
        </w:rPr>
      </w:pPr>
      <w:r>
        <w:rPr>
          <w:rFonts w:hint="eastAsia"/>
          <w:b/>
          <w:bCs/>
          <w:highlight w:val="none"/>
        </w:rPr>
        <w:t>备注：以上节点请</w:t>
      </w:r>
      <w:r>
        <w:rPr>
          <w:rFonts w:hint="eastAsia"/>
          <w:b/>
          <w:szCs w:val="21"/>
          <w:highlight w:val="none"/>
        </w:rPr>
        <w:t>根据评审表的要求提交相应资料，格式自拟。</w:t>
      </w:r>
      <w:bookmarkEnd w:id="92"/>
      <w:bookmarkEnd w:id="93"/>
      <w:bookmarkEnd w:id="94"/>
      <w:bookmarkEnd w:id="95"/>
    </w:p>
    <w:p>
      <w:pPr>
        <w:pStyle w:val="81"/>
        <w:tabs>
          <w:tab w:val="clear" w:pos="426"/>
        </w:tabs>
        <w:rPr>
          <w:highlight w:val="none"/>
        </w:rPr>
      </w:pPr>
      <w:r>
        <w:rPr>
          <w:highlight w:val="none"/>
        </w:rPr>
        <w:br w:type="page"/>
      </w:r>
      <w:bookmarkStart w:id="138" w:name="_Toc530152521"/>
      <w:bookmarkStart w:id="139" w:name="_Toc14427253"/>
      <w:bookmarkStart w:id="140" w:name="_Toc25882"/>
      <w:r>
        <w:rPr>
          <w:rFonts w:hint="eastAsia"/>
          <w:highlight w:val="none"/>
        </w:rPr>
        <w:t>招标文件第二册（通用</w:t>
      </w:r>
      <w:bookmarkEnd w:id="138"/>
      <w:bookmarkEnd w:id="139"/>
      <w:r>
        <w:rPr>
          <w:rFonts w:hint="eastAsia"/>
          <w:highlight w:val="none"/>
        </w:rPr>
        <w:t>部分）</w:t>
      </w:r>
      <w:bookmarkEnd w:id="140"/>
    </w:p>
    <w:p>
      <w:pPr>
        <w:jc w:val="center"/>
        <w:rPr>
          <w:rFonts w:hint="eastAsia"/>
          <w:b/>
          <w:highlight w:val="none"/>
        </w:rPr>
      </w:pPr>
      <w:r>
        <w:rPr>
          <w:rFonts w:hint="eastAsia"/>
          <w:b/>
          <w:highlight w:val="none"/>
        </w:rPr>
        <w:t>（投标供应商须知）</w:t>
      </w:r>
    </w:p>
    <w:p>
      <w:pPr>
        <w:pStyle w:val="5"/>
        <w:rPr>
          <w:rFonts w:hint="eastAsia"/>
          <w:highlight w:val="none"/>
        </w:rPr>
      </w:pPr>
      <w:bookmarkStart w:id="141" w:name="_Toc14427254"/>
      <w:bookmarkStart w:id="142" w:name="_Toc529280581"/>
      <w:bookmarkStart w:id="143" w:name="_Toc530152522"/>
      <w:bookmarkStart w:id="144" w:name="_Toc18466"/>
      <w:r>
        <w:rPr>
          <w:rFonts w:hint="eastAsia"/>
          <w:highlight w:val="none"/>
        </w:rPr>
        <w:t>第一章 总则</w:t>
      </w:r>
      <w:bookmarkEnd w:id="141"/>
      <w:bookmarkEnd w:id="142"/>
      <w:bookmarkEnd w:id="143"/>
      <w:bookmarkEnd w:id="144"/>
    </w:p>
    <w:p>
      <w:pPr>
        <w:tabs>
          <w:tab w:val="clear" w:pos="426"/>
        </w:tabs>
        <w:rPr>
          <w:rFonts w:hint="eastAsia"/>
          <w:highlight w:val="none"/>
        </w:rPr>
      </w:pPr>
      <w:r>
        <w:rPr>
          <w:rFonts w:hint="eastAsia"/>
          <w:highlight w:val="none"/>
        </w:rPr>
        <w:t>1.通用条款说明</w:t>
      </w:r>
    </w:p>
    <w:p>
      <w:pPr>
        <w:tabs>
          <w:tab w:val="clear" w:pos="426"/>
        </w:tabs>
        <w:rPr>
          <w:rFonts w:hint="eastAsia"/>
          <w:highlight w:val="none"/>
        </w:rPr>
      </w:pPr>
      <w:r>
        <w:rPr>
          <w:rFonts w:hint="eastAsia"/>
          <w:highlight w:val="none"/>
        </w:rPr>
        <w:t>1.1采购代理机构发出招标文件通用条款版本，列出采购项目进行招标采购所适用的通用条款内容。如有需要，采购代理机构可以对这些条款增加附录或补充内容。</w:t>
      </w:r>
    </w:p>
    <w:p>
      <w:pPr>
        <w:tabs>
          <w:tab w:val="clear" w:pos="426"/>
        </w:tabs>
        <w:rPr>
          <w:rFonts w:hint="eastAsia"/>
          <w:highlight w:val="none"/>
        </w:rPr>
      </w:pPr>
      <w:r>
        <w:rPr>
          <w:rFonts w:hint="eastAsia"/>
          <w:highlight w:val="none"/>
        </w:rPr>
        <w:t>2</w:t>
      </w:r>
      <w:r>
        <w:rPr>
          <w:highlight w:val="none"/>
        </w:rPr>
        <w:t>．</w:t>
      </w:r>
      <w:r>
        <w:rPr>
          <w:rFonts w:hint="eastAsia"/>
          <w:highlight w:val="none"/>
        </w:rPr>
        <w:t>招标说明</w:t>
      </w:r>
    </w:p>
    <w:p>
      <w:pPr>
        <w:tabs>
          <w:tab w:val="clear" w:pos="426"/>
        </w:tabs>
        <w:rPr>
          <w:rFonts w:hint="eastAsia"/>
          <w:szCs w:val="21"/>
          <w:highlight w:val="none"/>
        </w:rPr>
      </w:pPr>
      <w:r>
        <w:rPr>
          <w:rFonts w:hint="eastAsia"/>
          <w:highlight w:val="none"/>
        </w:rPr>
        <w:t>本项目按照《中华人民共和国政府采购法》《中华人民共和国政府采购法实施条例》的规定，并参考有关法规、政策、规章、规定通过招标择优选定供应商。</w:t>
      </w:r>
      <w:r>
        <w:rPr>
          <w:rFonts w:hint="eastAsia"/>
          <w:szCs w:val="21"/>
          <w:highlight w:val="none"/>
        </w:rPr>
        <w:t>本招标文件适用于采购公告中所述项目的政府采购。</w:t>
      </w:r>
    </w:p>
    <w:p>
      <w:pPr>
        <w:tabs>
          <w:tab w:val="clear" w:pos="426"/>
        </w:tabs>
        <w:rPr>
          <w:rFonts w:hint="eastAsia"/>
          <w:szCs w:val="21"/>
          <w:highlight w:val="none"/>
        </w:rPr>
      </w:pPr>
      <w:r>
        <w:rPr>
          <w:rFonts w:hint="eastAsia"/>
          <w:szCs w:val="21"/>
          <w:highlight w:val="none"/>
        </w:rPr>
        <w:t>本招标文件的解释权归属深圳市深水水务咨询有限公司。</w:t>
      </w:r>
    </w:p>
    <w:p>
      <w:pPr>
        <w:tabs>
          <w:tab w:val="clear" w:pos="426"/>
        </w:tabs>
        <w:rPr>
          <w:rFonts w:hint="eastAsia"/>
          <w:highlight w:val="none"/>
        </w:rPr>
      </w:pPr>
      <w:r>
        <w:rPr>
          <w:highlight w:val="none"/>
        </w:rPr>
        <w:t>3．定义</w:t>
      </w:r>
    </w:p>
    <w:p>
      <w:pPr>
        <w:tabs>
          <w:tab w:val="clear" w:pos="426"/>
        </w:tabs>
        <w:rPr>
          <w:rFonts w:hint="eastAsia"/>
          <w:highlight w:val="none"/>
        </w:rPr>
      </w:pPr>
      <w:r>
        <w:rPr>
          <w:highlight w:val="none"/>
        </w:rPr>
        <w:t>招标文件中下列术语应解释为：</w:t>
      </w:r>
    </w:p>
    <w:p>
      <w:pPr>
        <w:tabs>
          <w:tab w:val="clear" w:pos="426"/>
        </w:tabs>
        <w:rPr>
          <w:rFonts w:hint="eastAsia"/>
          <w:highlight w:val="none"/>
        </w:rPr>
      </w:pPr>
      <w:r>
        <w:rPr>
          <w:szCs w:val="21"/>
          <w:highlight w:val="none"/>
        </w:rPr>
        <w:t>3.1</w:t>
      </w:r>
      <w:r>
        <w:rPr>
          <w:rFonts w:hint="eastAsia"/>
          <w:szCs w:val="21"/>
          <w:highlight w:val="none"/>
        </w:rPr>
        <w:t>“采购代理机构”</w:t>
      </w:r>
      <w:r>
        <w:rPr>
          <w:rFonts w:hint="eastAsia"/>
          <w:highlight w:val="none"/>
        </w:rPr>
        <w:t>系指政府设立的负责本级财政性资金的集中采购和招标组织工作的专门机构；本项目</w:t>
      </w:r>
      <w:r>
        <w:rPr>
          <w:highlight w:val="none"/>
        </w:rPr>
        <w:t>系指</w:t>
      </w:r>
      <w:r>
        <w:rPr>
          <w:rFonts w:hint="eastAsia"/>
          <w:highlight w:val="none"/>
        </w:rPr>
        <w:t>深圳市深水水务咨询有限公司；</w:t>
      </w:r>
    </w:p>
    <w:p>
      <w:pPr>
        <w:tabs>
          <w:tab w:val="clear" w:pos="426"/>
        </w:tabs>
        <w:rPr>
          <w:rFonts w:hint="eastAsia"/>
          <w:highlight w:val="none"/>
        </w:rPr>
      </w:pPr>
      <w:r>
        <w:rPr>
          <w:highlight w:val="none"/>
        </w:rPr>
        <w:t xml:space="preserve">3.2“采购人”或“采购单位”：系指利用财政性资金依法进行采购的国家机关、事业单位、团体组织； </w:t>
      </w:r>
    </w:p>
    <w:p>
      <w:pPr>
        <w:tabs>
          <w:tab w:val="clear" w:pos="426"/>
        </w:tabs>
        <w:rPr>
          <w:rFonts w:hint="eastAsia"/>
          <w:highlight w:val="none"/>
        </w:rPr>
      </w:pPr>
      <w:r>
        <w:rPr>
          <w:highlight w:val="none"/>
        </w:rPr>
        <w:t>3.3“投标供应商”或“投标方”，即供应商，是指参加投标竞争并愿意按照招标文件要求向采购人提供货物、工程或者服务的依法成立的法人、其他组织或者自然人；</w:t>
      </w:r>
    </w:p>
    <w:p>
      <w:pPr>
        <w:tabs>
          <w:tab w:val="clear" w:pos="426"/>
        </w:tabs>
        <w:rPr>
          <w:rFonts w:hint="eastAsia"/>
          <w:highlight w:val="none"/>
        </w:rPr>
      </w:pPr>
      <w:r>
        <w:rPr>
          <w:highlight w:val="none"/>
        </w:rPr>
        <w:t>3.4“评标委员会”和“谈判小组”是依据有关规定组建的专门负责本次招标其评标（谈判）工作的临时性机构；</w:t>
      </w:r>
    </w:p>
    <w:p>
      <w:pPr>
        <w:tabs>
          <w:tab w:val="clear" w:pos="426"/>
        </w:tabs>
        <w:rPr>
          <w:rFonts w:hint="eastAsia"/>
          <w:highlight w:val="none"/>
        </w:rPr>
      </w:pPr>
      <w:r>
        <w:rPr>
          <w:highlight w:val="none"/>
        </w:rPr>
        <w:t>3.5“日期”指</w:t>
      </w:r>
      <w:r>
        <w:rPr>
          <w:rFonts w:hint="eastAsia"/>
          <w:highlight w:val="none"/>
        </w:rPr>
        <w:t>公历日；</w:t>
      </w:r>
    </w:p>
    <w:p>
      <w:pPr>
        <w:tabs>
          <w:tab w:val="clear" w:pos="426"/>
        </w:tabs>
        <w:rPr>
          <w:rFonts w:hint="eastAsia"/>
          <w:highlight w:val="none"/>
        </w:rPr>
      </w:pPr>
      <w:r>
        <w:rPr>
          <w:highlight w:val="none"/>
        </w:rPr>
        <w:t>3.6“合同”指由本次招标所产生的合同或合约文件；</w:t>
      </w:r>
    </w:p>
    <w:p>
      <w:pPr>
        <w:tabs>
          <w:tab w:val="clear" w:pos="426"/>
        </w:tabs>
        <w:rPr>
          <w:rFonts w:hint="eastAsia"/>
          <w:highlight w:val="none"/>
        </w:rPr>
      </w:pPr>
      <w:r>
        <w:rPr>
          <w:highlight w:val="none"/>
        </w:rPr>
        <w:t>3.7招标文件中的标题或题名仅起引导作用，而不应视为对招标文件内容的理解和解释。</w:t>
      </w:r>
    </w:p>
    <w:p>
      <w:pPr>
        <w:tabs>
          <w:tab w:val="clear" w:pos="426"/>
        </w:tabs>
        <w:rPr>
          <w:rFonts w:hint="eastAsia"/>
          <w:highlight w:val="none"/>
        </w:rPr>
      </w:pPr>
      <w:r>
        <w:rPr>
          <w:highlight w:val="none"/>
        </w:rPr>
        <w:t>4.</w:t>
      </w:r>
      <w:r>
        <w:rPr>
          <w:rFonts w:hint="eastAsia"/>
          <w:highlight w:val="none"/>
        </w:rPr>
        <w:t>供应商责任</w:t>
      </w:r>
    </w:p>
    <w:p>
      <w:pPr>
        <w:tabs>
          <w:tab w:val="clear" w:pos="426"/>
        </w:tabs>
        <w:rPr>
          <w:rFonts w:hint="eastAsia"/>
          <w:highlight w:val="none"/>
        </w:rPr>
      </w:pPr>
      <w:r>
        <w:rPr>
          <w:highlight w:val="none"/>
        </w:rPr>
        <w:t>4.1欢迎诚信、有实力和有社会责任心的供应商参与采购事业。</w:t>
      </w:r>
    </w:p>
    <w:p>
      <w:pPr>
        <w:tabs>
          <w:tab w:val="clear" w:pos="426"/>
        </w:tabs>
        <w:rPr>
          <w:rFonts w:hint="eastAsia"/>
          <w:highlight w:val="none"/>
        </w:rPr>
      </w:pPr>
      <w:r>
        <w:rPr>
          <w:highlight w:val="none"/>
        </w:rP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rPr>
          <w:rFonts w:hint="eastAsia"/>
          <w:highlight w:val="none"/>
        </w:rPr>
      </w:pPr>
      <w:r>
        <w:rPr>
          <w:highlight w:val="none"/>
        </w:rPr>
        <w:t>5．合格的投标供应商</w:t>
      </w:r>
    </w:p>
    <w:p>
      <w:pPr>
        <w:widowControl w:val="0"/>
        <w:shd w:val="clear" w:color="auto" w:fill="auto"/>
        <w:tabs>
          <w:tab w:val="clear" w:pos="426"/>
        </w:tabs>
        <w:autoSpaceDE w:val="0"/>
        <w:autoSpaceDN w:val="0"/>
        <w:rPr>
          <w:rFonts w:hint="eastAsia"/>
          <w:szCs w:val="21"/>
          <w:highlight w:val="none"/>
        </w:rPr>
      </w:pPr>
      <w:r>
        <w:rPr>
          <w:szCs w:val="21"/>
          <w:highlight w:val="none"/>
        </w:rPr>
        <w:t xml:space="preserve">5.1 </w:t>
      </w:r>
      <w:r>
        <w:rPr>
          <w:rFonts w:hint="eastAsia"/>
          <w:szCs w:val="21"/>
          <w:highlight w:val="none"/>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rFonts w:hint="eastAsia"/>
          <w:szCs w:val="21"/>
          <w:highlight w:val="none"/>
          <w:lang w:eastAsia="zh-TW"/>
        </w:rPr>
      </w:pPr>
      <w:r>
        <w:rPr>
          <w:szCs w:val="21"/>
          <w:highlight w:val="none"/>
        </w:rPr>
        <w:t xml:space="preserve">5.2 </w:t>
      </w:r>
      <w:r>
        <w:rPr>
          <w:rFonts w:hint="eastAsia"/>
          <w:szCs w:val="21"/>
          <w:highlight w:val="none"/>
          <w:lang w:eastAsia="zh-TW"/>
        </w:rPr>
        <w:t>合格的投标供应商</w:t>
      </w:r>
    </w:p>
    <w:p>
      <w:pPr>
        <w:widowControl w:val="0"/>
        <w:shd w:val="clear" w:color="auto" w:fill="auto"/>
        <w:tabs>
          <w:tab w:val="clear" w:pos="426"/>
        </w:tabs>
        <w:autoSpaceDE w:val="0"/>
        <w:autoSpaceDN w:val="0"/>
        <w:rPr>
          <w:rFonts w:hint="eastAsia"/>
          <w:szCs w:val="21"/>
          <w:highlight w:val="none"/>
        </w:rPr>
      </w:pPr>
      <w:r>
        <w:rPr>
          <w:szCs w:val="21"/>
          <w:highlight w:val="none"/>
        </w:rPr>
        <w:t>5.2.1 具有独立承担民事责任的能力。</w:t>
      </w:r>
    </w:p>
    <w:p>
      <w:pPr>
        <w:widowControl w:val="0"/>
        <w:shd w:val="clear" w:color="auto" w:fill="auto"/>
        <w:tabs>
          <w:tab w:val="clear" w:pos="426"/>
        </w:tabs>
        <w:autoSpaceDE w:val="0"/>
        <w:autoSpaceDN w:val="0"/>
        <w:rPr>
          <w:rFonts w:hint="eastAsia"/>
          <w:szCs w:val="21"/>
          <w:highlight w:val="none"/>
        </w:rPr>
      </w:pPr>
      <w:r>
        <w:rPr>
          <w:szCs w:val="21"/>
          <w:highlight w:val="none"/>
        </w:rPr>
        <w:t>5.2.2 具有良好的商业信誉和健全的财务会计制度</w:t>
      </w:r>
      <w:r>
        <w:rPr>
          <w:rFonts w:hint="eastAsia"/>
          <w:szCs w:val="21"/>
          <w:highlight w:val="none"/>
        </w:rPr>
        <w:t>。</w:t>
      </w:r>
    </w:p>
    <w:p>
      <w:pPr>
        <w:widowControl w:val="0"/>
        <w:shd w:val="clear" w:color="auto" w:fill="auto"/>
        <w:tabs>
          <w:tab w:val="clear" w:pos="426"/>
        </w:tabs>
        <w:autoSpaceDE w:val="0"/>
        <w:autoSpaceDN w:val="0"/>
        <w:rPr>
          <w:rFonts w:hint="eastAsia"/>
          <w:szCs w:val="21"/>
          <w:highlight w:val="none"/>
        </w:rPr>
      </w:pPr>
      <w:r>
        <w:rPr>
          <w:szCs w:val="21"/>
          <w:highlight w:val="none"/>
        </w:rPr>
        <w:t>5.2.3 具有履行合同所必需的</w:t>
      </w:r>
      <w:r>
        <w:rPr>
          <w:rFonts w:hint="eastAsia"/>
          <w:szCs w:val="21"/>
          <w:highlight w:val="none"/>
        </w:rPr>
        <w:t>设备</w:t>
      </w:r>
      <w:r>
        <w:rPr>
          <w:szCs w:val="21"/>
          <w:highlight w:val="none"/>
        </w:rPr>
        <w:t>和专业技术能力</w:t>
      </w:r>
      <w:r>
        <w:rPr>
          <w:rFonts w:hint="eastAsia"/>
          <w:szCs w:val="21"/>
          <w:highlight w:val="none"/>
        </w:rPr>
        <w:t>。</w:t>
      </w:r>
    </w:p>
    <w:p>
      <w:pPr>
        <w:widowControl w:val="0"/>
        <w:shd w:val="clear" w:color="auto" w:fill="auto"/>
        <w:tabs>
          <w:tab w:val="clear" w:pos="426"/>
        </w:tabs>
        <w:autoSpaceDE w:val="0"/>
        <w:autoSpaceDN w:val="0"/>
        <w:rPr>
          <w:rFonts w:hint="eastAsia"/>
          <w:szCs w:val="21"/>
          <w:highlight w:val="none"/>
        </w:rPr>
      </w:pPr>
      <w:r>
        <w:rPr>
          <w:szCs w:val="21"/>
          <w:highlight w:val="none"/>
        </w:rPr>
        <w:t>5.2.4 有依法缴纳税收和社会保障资金的良好记录</w:t>
      </w:r>
      <w:r>
        <w:rPr>
          <w:rFonts w:hint="eastAsia"/>
          <w:szCs w:val="21"/>
          <w:highlight w:val="none"/>
        </w:rPr>
        <w:t>。</w:t>
      </w:r>
    </w:p>
    <w:p>
      <w:pPr>
        <w:widowControl w:val="0"/>
        <w:shd w:val="clear" w:color="auto" w:fill="auto"/>
        <w:tabs>
          <w:tab w:val="clear" w:pos="426"/>
        </w:tabs>
        <w:autoSpaceDE w:val="0"/>
        <w:autoSpaceDN w:val="0"/>
        <w:rPr>
          <w:rFonts w:hint="eastAsia"/>
          <w:szCs w:val="21"/>
          <w:highlight w:val="none"/>
        </w:rPr>
      </w:pPr>
      <w:r>
        <w:rPr>
          <w:szCs w:val="21"/>
          <w:highlight w:val="none"/>
        </w:rPr>
        <w:t>5.2.5 参加采购活动前三年内，在经营活动中没有重大违法记录</w:t>
      </w:r>
      <w:r>
        <w:rPr>
          <w:rFonts w:hint="eastAsia"/>
          <w:szCs w:val="21"/>
          <w:highlight w:val="none"/>
        </w:rPr>
        <w:t>。</w:t>
      </w:r>
    </w:p>
    <w:p>
      <w:pPr>
        <w:widowControl w:val="0"/>
        <w:shd w:val="clear" w:color="auto" w:fill="auto"/>
        <w:tabs>
          <w:tab w:val="clear" w:pos="426"/>
        </w:tabs>
        <w:autoSpaceDE w:val="0"/>
        <w:autoSpaceDN w:val="0"/>
        <w:rPr>
          <w:rFonts w:hint="eastAsia"/>
          <w:szCs w:val="21"/>
          <w:highlight w:val="none"/>
        </w:rPr>
      </w:pPr>
      <w:r>
        <w:rPr>
          <w:szCs w:val="21"/>
          <w:highlight w:val="none"/>
        </w:rPr>
        <w:t>5.2.6 法律、行政法规规定的其他条件</w:t>
      </w:r>
      <w:r>
        <w:rPr>
          <w:rFonts w:hint="eastAsia"/>
          <w:szCs w:val="21"/>
          <w:highlight w:val="none"/>
        </w:rPr>
        <w:t>。</w:t>
      </w:r>
    </w:p>
    <w:p>
      <w:pPr>
        <w:widowControl w:val="0"/>
        <w:shd w:val="clear" w:color="auto" w:fill="auto"/>
        <w:tabs>
          <w:tab w:val="clear" w:pos="426"/>
        </w:tabs>
        <w:autoSpaceDE w:val="0"/>
        <w:autoSpaceDN w:val="0"/>
        <w:rPr>
          <w:rFonts w:hint="eastAsia"/>
          <w:szCs w:val="21"/>
          <w:highlight w:val="none"/>
        </w:rPr>
      </w:pPr>
      <w:r>
        <w:rPr>
          <w:szCs w:val="21"/>
          <w:highlight w:val="none"/>
        </w:rPr>
        <w:t xml:space="preserve">5.2.7 </w:t>
      </w:r>
      <w:r>
        <w:rPr>
          <w:rFonts w:hint="eastAsia"/>
          <w:szCs w:val="21"/>
          <w:highlight w:val="none"/>
        </w:rPr>
        <w:t>只有在法律上和财务上独立、合法运作并独立于采购人和代理机构的供货商才能参加投标。</w:t>
      </w:r>
    </w:p>
    <w:p>
      <w:pPr>
        <w:widowControl w:val="0"/>
        <w:shd w:val="clear" w:color="auto" w:fill="auto"/>
        <w:tabs>
          <w:tab w:val="clear" w:pos="426"/>
        </w:tabs>
        <w:autoSpaceDE w:val="0"/>
        <w:autoSpaceDN w:val="0"/>
        <w:rPr>
          <w:rFonts w:hint="eastAsia"/>
          <w:b/>
          <w:szCs w:val="21"/>
          <w:highlight w:val="none"/>
        </w:rPr>
      </w:pPr>
      <w:r>
        <w:rPr>
          <w:szCs w:val="21"/>
          <w:highlight w:val="none"/>
        </w:rPr>
        <w:t xml:space="preserve">5.2.8 </w:t>
      </w:r>
      <w:r>
        <w:rPr>
          <w:rFonts w:hint="eastAsia"/>
          <w:szCs w:val="21"/>
          <w:highlight w:val="none"/>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rFonts w:hint="eastAsia"/>
          <w:szCs w:val="21"/>
          <w:highlight w:val="none"/>
        </w:rPr>
      </w:pPr>
      <w:r>
        <w:rPr>
          <w:szCs w:val="21"/>
          <w:highlight w:val="none"/>
        </w:rPr>
        <w:t xml:space="preserve">5.2.9 </w:t>
      </w:r>
      <w:r>
        <w:rPr>
          <w:rFonts w:hint="eastAsia"/>
          <w:szCs w:val="21"/>
          <w:highlight w:val="none"/>
        </w:rPr>
        <w:t>符合</w:t>
      </w:r>
      <w:r>
        <w:rPr>
          <w:rFonts w:hint="eastAsia" w:cs="黑体"/>
          <w:szCs w:val="21"/>
          <w:highlight w:val="none"/>
        </w:rPr>
        <w:t>第一章采购公告“投标供应商资格要求”</w:t>
      </w:r>
      <w:r>
        <w:rPr>
          <w:rFonts w:hint="eastAsia"/>
          <w:szCs w:val="21"/>
          <w:highlight w:val="none"/>
        </w:rPr>
        <w:t>的条款</w:t>
      </w:r>
      <w:r>
        <w:rPr>
          <w:rFonts w:hint="eastAsia" w:cs="黑体"/>
          <w:szCs w:val="21"/>
          <w:highlight w:val="none"/>
        </w:rPr>
        <w:t>。</w:t>
      </w:r>
    </w:p>
    <w:p>
      <w:pPr>
        <w:widowControl w:val="0"/>
        <w:shd w:val="clear" w:color="auto" w:fill="auto"/>
        <w:tabs>
          <w:tab w:val="clear" w:pos="426"/>
        </w:tabs>
        <w:autoSpaceDE w:val="0"/>
        <w:autoSpaceDN w:val="0"/>
        <w:rPr>
          <w:rFonts w:hint="eastAsia"/>
          <w:szCs w:val="21"/>
          <w:highlight w:val="none"/>
        </w:rPr>
      </w:pPr>
      <w:r>
        <w:rPr>
          <w:szCs w:val="21"/>
          <w:highlight w:val="none"/>
        </w:rPr>
        <w:t xml:space="preserve">5.3 </w:t>
      </w:r>
      <w:r>
        <w:rPr>
          <w:rFonts w:hint="eastAsia"/>
          <w:szCs w:val="21"/>
          <w:highlight w:val="none"/>
        </w:rPr>
        <w:t>中标供应商是指经法定程序确定并授予合同的投标供应商。</w:t>
      </w:r>
    </w:p>
    <w:p>
      <w:pPr>
        <w:tabs>
          <w:tab w:val="clear" w:pos="426"/>
        </w:tabs>
        <w:rPr>
          <w:rFonts w:hint="eastAsia"/>
          <w:highlight w:val="none"/>
        </w:rPr>
      </w:pPr>
      <w:r>
        <w:rPr>
          <w:highlight w:val="none"/>
        </w:rPr>
        <w:t>6．联合体投标</w:t>
      </w:r>
    </w:p>
    <w:p>
      <w:pPr>
        <w:tabs>
          <w:tab w:val="clear" w:pos="426"/>
        </w:tabs>
        <w:rPr>
          <w:rFonts w:hint="eastAsia"/>
          <w:highlight w:val="none"/>
        </w:rPr>
      </w:pPr>
      <w:r>
        <w:rPr>
          <w:highlight w:val="none"/>
        </w:rPr>
        <w:t>6.1　以下有关联合体投标的条款仅适用于允许投标供应商组成联合体投标的项目。</w:t>
      </w:r>
    </w:p>
    <w:p>
      <w:pPr>
        <w:tabs>
          <w:tab w:val="clear" w:pos="426"/>
        </w:tabs>
        <w:rPr>
          <w:rFonts w:hint="eastAsia"/>
          <w:highlight w:val="none"/>
        </w:rPr>
      </w:pPr>
      <w:r>
        <w:rPr>
          <w:highlight w:val="none"/>
        </w:rPr>
        <w:t>6.2　由两个或两个以上的自然人、法人或者其他组织可以组成一个联合体，以一个供应商的身份共同投标时，应符合以下原则：</w:t>
      </w:r>
    </w:p>
    <w:p>
      <w:pPr>
        <w:tabs>
          <w:tab w:val="clear" w:pos="426"/>
        </w:tabs>
        <w:rPr>
          <w:rFonts w:hint="eastAsia"/>
          <w:highlight w:val="none"/>
        </w:rPr>
      </w:pPr>
      <w:r>
        <w:rPr>
          <w:highlight w:val="none"/>
        </w:rPr>
        <w:t>6.2.</w:t>
      </w:r>
      <w:r>
        <w:rPr>
          <w:bCs/>
          <w:highlight w:val="none"/>
        </w:rPr>
        <w:t>1投标联合体应满足采购公告有关投标供应商资格要求中对联合体的要求；</w:t>
      </w:r>
    </w:p>
    <w:p>
      <w:pPr>
        <w:tabs>
          <w:tab w:val="clear" w:pos="426"/>
        </w:tabs>
        <w:rPr>
          <w:rFonts w:hint="eastAsia"/>
          <w:highlight w:val="none"/>
        </w:rPr>
      </w:pPr>
      <w:r>
        <w:rPr>
          <w:highlight w:val="none"/>
        </w:rP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rPr>
          <w:rFonts w:hint="eastAsia"/>
          <w:highlight w:val="none"/>
        </w:rPr>
      </w:pPr>
      <w:r>
        <w:rPr>
          <w:highlight w:val="none"/>
        </w:rPr>
        <w:t>6.2.3投标供应商的投标文件及中标后签署的合同协议对联合体各方均具法律约束力；</w:t>
      </w:r>
    </w:p>
    <w:p>
      <w:pPr>
        <w:tabs>
          <w:tab w:val="clear" w:pos="426"/>
        </w:tabs>
        <w:rPr>
          <w:rFonts w:hint="eastAsia"/>
          <w:highlight w:val="none"/>
        </w:rPr>
      </w:pPr>
      <w:r>
        <w:rPr>
          <w:highlight w:val="none"/>
        </w:rPr>
        <w:t>6.2.4联合体各方应当签订共同投标协议，明确约定各方拟承担的工作和责任，并将该共同投标协议随投标文件一并递交给代理机构；</w:t>
      </w:r>
    </w:p>
    <w:p>
      <w:pPr>
        <w:tabs>
          <w:tab w:val="clear" w:pos="426"/>
        </w:tabs>
        <w:rPr>
          <w:rFonts w:hint="eastAsia"/>
          <w:highlight w:val="none"/>
        </w:rPr>
      </w:pPr>
      <w:r>
        <w:rPr>
          <w:highlight w:val="none"/>
        </w:rP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rPr>
          <w:rFonts w:hint="eastAsia"/>
          <w:highlight w:val="none"/>
        </w:rPr>
      </w:pPr>
      <w:r>
        <w:rPr>
          <w:highlight w:val="none"/>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rFonts w:hint="eastAsia"/>
          <w:highlight w:val="none"/>
        </w:rPr>
      </w:pPr>
      <w:r>
        <w:rPr>
          <w:highlight w:val="none"/>
        </w:rPr>
        <w:t>6.2.7除非另有规定或说明，本须知中“投标供应商”一词亦指联合体各方。</w:t>
      </w:r>
    </w:p>
    <w:p>
      <w:pPr>
        <w:tabs>
          <w:tab w:val="clear" w:pos="426"/>
        </w:tabs>
        <w:rPr>
          <w:rFonts w:hint="eastAsia"/>
          <w:highlight w:val="none"/>
        </w:rPr>
      </w:pPr>
      <w:r>
        <w:rPr>
          <w:highlight w:val="none"/>
        </w:rPr>
        <w:t xml:space="preserve">7. </w:t>
      </w:r>
      <w:r>
        <w:rPr>
          <w:rFonts w:hint="eastAsia"/>
          <w:highlight w:val="none"/>
        </w:rPr>
        <w:t>合格的服务和货物</w:t>
      </w:r>
    </w:p>
    <w:p>
      <w:pPr>
        <w:widowControl w:val="0"/>
        <w:shd w:val="clear" w:color="auto" w:fill="auto"/>
        <w:tabs>
          <w:tab w:val="clear" w:pos="426"/>
        </w:tabs>
        <w:autoSpaceDE w:val="0"/>
        <w:autoSpaceDN w:val="0"/>
        <w:rPr>
          <w:rFonts w:hint="eastAsia"/>
          <w:szCs w:val="21"/>
          <w:highlight w:val="none"/>
        </w:rPr>
      </w:pPr>
      <w:r>
        <w:rPr>
          <w:szCs w:val="21"/>
          <w:highlight w:val="none"/>
        </w:rPr>
        <w:t xml:space="preserve">7.1 </w:t>
      </w:r>
      <w:r>
        <w:rPr>
          <w:rFonts w:hint="eastAsia"/>
          <w:szCs w:val="21"/>
          <w:highlight w:val="none"/>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hint="eastAsia" w:cs="黑体"/>
          <w:b/>
          <w:bCs/>
          <w:szCs w:val="21"/>
          <w:highlight w:val="none"/>
        </w:rPr>
      </w:pPr>
      <w:r>
        <w:rPr>
          <w:szCs w:val="21"/>
          <w:highlight w:val="none"/>
        </w:rPr>
        <w:t xml:space="preserve">7.2 </w:t>
      </w:r>
      <w:r>
        <w:rPr>
          <w:rFonts w:hint="eastAsia"/>
          <w:szCs w:val="21"/>
          <w:highlight w:val="none"/>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rFonts w:hint="eastAsia"/>
          <w:szCs w:val="21"/>
          <w:highlight w:val="none"/>
        </w:rPr>
      </w:pPr>
      <w:r>
        <w:rPr>
          <w:szCs w:val="21"/>
          <w:highlight w:val="none"/>
        </w:rPr>
        <w:t xml:space="preserve">7.3 </w:t>
      </w:r>
      <w:r>
        <w:rPr>
          <w:rFonts w:hint="eastAsia"/>
          <w:szCs w:val="21"/>
          <w:highlight w:val="none"/>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rFonts w:hint="eastAsia"/>
          <w:szCs w:val="21"/>
          <w:highlight w:val="none"/>
        </w:rPr>
      </w:pPr>
      <w:r>
        <w:rPr>
          <w:szCs w:val="21"/>
          <w:highlight w:val="none"/>
        </w:rPr>
        <w:t xml:space="preserve">7.4 </w:t>
      </w:r>
      <w:r>
        <w:rPr>
          <w:rFonts w:hint="eastAsia"/>
          <w:szCs w:val="21"/>
          <w:highlight w:val="none"/>
        </w:rPr>
        <w:t>采购人有权拒绝接受任何不合格的服务，由此产生的费用及相关后果均由供应商自行承担。</w:t>
      </w:r>
    </w:p>
    <w:p>
      <w:pPr>
        <w:widowControl w:val="0"/>
        <w:shd w:val="clear" w:color="auto" w:fill="auto"/>
        <w:tabs>
          <w:tab w:val="clear" w:pos="426"/>
        </w:tabs>
        <w:autoSpaceDE w:val="0"/>
        <w:autoSpaceDN w:val="0"/>
        <w:rPr>
          <w:rFonts w:hint="eastAsia"/>
          <w:szCs w:val="21"/>
          <w:highlight w:val="none"/>
        </w:rPr>
      </w:pPr>
      <w:r>
        <w:rPr>
          <w:szCs w:val="21"/>
          <w:highlight w:val="none"/>
        </w:rPr>
        <w:t xml:space="preserve">7.5 </w:t>
      </w:r>
      <w:r>
        <w:rPr>
          <w:rFonts w:hint="eastAsia"/>
          <w:szCs w:val="21"/>
          <w:highlight w:val="none"/>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rPr>
          <w:rFonts w:hint="eastAsia"/>
          <w:highlight w:val="none"/>
        </w:rPr>
      </w:pPr>
      <w:r>
        <w:rPr>
          <w:highlight w:val="none"/>
        </w:rPr>
        <w:t>8．投标费用</w:t>
      </w:r>
    </w:p>
    <w:p>
      <w:pPr>
        <w:tabs>
          <w:tab w:val="clear" w:pos="426"/>
        </w:tabs>
        <w:rPr>
          <w:rFonts w:hint="eastAsia"/>
          <w:highlight w:val="none"/>
        </w:rPr>
      </w:pPr>
      <w:r>
        <w:rPr>
          <w:rFonts w:hint="eastAsia"/>
          <w:highlight w:val="none"/>
        </w:rPr>
        <w:t>不论投标结果如何，投标供应商应承担其编制投标文件与递交投标文件所涉及的一切费用。</w:t>
      </w:r>
      <w:r>
        <w:rPr>
          <w:rFonts w:hint="eastAsia"/>
          <w:szCs w:val="21"/>
          <w:highlight w:val="none"/>
          <w:lang w:eastAsia="zh-TW"/>
        </w:rPr>
        <w:t>不论投标的结果如何</w:t>
      </w:r>
      <w:r>
        <w:rPr>
          <w:rFonts w:hint="eastAsia"/>
          <w:szCs w:val="21"/>
          <w:highlight w:val="none"/>
        </w:rPr>
        <w:t>，</w:t>
      </w:r>
      <w:r>
        <w:rPr>
          <w:rFonts w:hint="eastAsia"/>
          <w:szCs w:val="21"/>
          <w:highlight w:val="none"/>
          <w:lang w:eastAsia="zh-TW"/>
        </w:rPr>
        <w:t>招标采购单位均无义务和责任承担这些费用</w:t>
      </w:r>
      <w:r>
        <w:rPr>
          <w:rFonts w:hint="eastAsia"/>
          <w:szCs w:val="21"/>
          <w:highlight w:val="none"/>
        </w:rPr>
        <w:t>。</w:t>
      </w:r>
    </w:p>
    <w:p>
      <w:pPr>
        <w:tabs>
          <w:tab w:val="clear" w:pos="426"/>
        </w:tabs>
        <w:rPr>
          <w:rFonts w:hint="eastAsia"/>
          <w:highlight w:val="none"/>
        </w:rPr>
      </w:pPr>
      <w:r>
        <w:rPr>
          <w:highlight w:val="none"/>
        </w:rPr>
        <w:t>9．踏勘现场</w:t>
      </w:r>
    </w:p>
    <w:p>
      <w:pPr>
        <w:tabs>
          <w:tab w:val="clear" w:pos="426"/>
        </w:tabs>
        <w:rPr>
          <w:rFonts w:hint="eastAsia"/>
          <w:highlight w:val="none"/>
        </w:rPr>
      </w:pPr>
      <w:r>
        <w:rPr>
          <w:highlight w:val="none"/>
        </w:rP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rPr>
          <w:rFonts w:hint="eastAsia"/>
          <w:highlight w:val="none"/>
        </w:rPr>
      </w:pPr>
      <w:r>
        <w:rPr>
          <w:highlight w:val="none"/>
        </w:rPr>
        <w:t>9.2投标供应商及其人员经过采购单位的允许，可以踏勘目的进入采购单位的项目现场。若本项目招标文件要求投标供应商于统一时间地点踏勘现场的，投标供应商按时前往。</w:t>
      </w:r>
    </w:p>
    <w:p>
      <w:pPr>
        <w:tabs>
          <w:tab w:val="clear" w:pos="426"/>
        </w:tabs>
        <w:rPr>
          <w:rFonts w:hint="eastAsia"/>
          <w:highlight w:val="none"/>
        </w:rPr>
      </w:pPr>
      <w:r>
        <w:rPr>
          <w:highlight w:val="none"/>
        </w:rPr>
        <w:t>9.3采购单位必须通过采购代理机构向投标供应商提供有关现场的资料和数据。</w:t>
      </w:r>
    </w:p>
    <w:p>
      <w:pPr>
        <w:tabs>
          <w:tab w:val="clear" w:pos="426"/>
        </w:tabs>
        <w:rPr>
          <w:rFonts w:hint="eastAsia"/>
          <w:highlight w:val="none"/>
        </w:rPr>
      </w:pPr>
      <w:r>
        <w:rPr>
          <w:highlight w:val="none"/>
        </w:rP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rPr>
          <w:rFonts w:hint="eastAsia"/>
          <w:highlight w:val="none"/>
        </w:rPr>
      </w:pPr>
      <w:r>
        <w:rPr>
          <w:highlight w:val="none"/>
        </w:rPr>
        <w:t xml:space="preserve">9.5 </w:t>
      </w:r>
      <w:r>
        <w:rPr>
          <w:rFonts w:hint="eastAsia"/>
          <w:highlight w:val="none"/>
        </w:rPr>
        <w:t>未参与现场踏勘不作为否定投标供应商资格的理由。</w:t>
      </w:r>
    </w:p>
    <w:p>
      <w:pPr>
        <w:tabs>
          <w:tab w:val="clear" w:pos="426"/>
        </w:tabs>
        <w:rPr>
          <w:rFonts w:hint="eastAsia"/>
          <w:highlight w:val="none"/>
        </w:rPr>
      </w:pPr>
      <w:r>
        <w:rPr>
          <w:highlight w:val="none"/>
        </w:rPr>
        <w:t>10．招标答疑</w:t>
      </w:r>
    </w:p>
    <w:p>
      <w:pPr>
        <w:tabs>
          <w:tab w:val="clear" w:pos="426"/>
        </w:tabs>
        <w:rPr>
          <w:rFonts w:hint="eastAsia"/>
          <w:highlight w:val="none"/>
        </w:rPr>
      </w:pPr>
      <w:r>
        <w:rPr>
          <w:highlight w:val="none"/>
        </w:rPr>
        <w:t>10.1招标答疑的目的是澄清、解答投标供应商在查阅招标文件后或现场踏勘中可能提出的与投标有关的疑问或询问。</w:t>
      </w:r>
    </w:p>
    <w:p>
      <w:pPr>
        <w:tabs>
          <w:tab w:val="clear" w:pos="426"/>
        </w:tabs>
        <w:rPr>
          <w:rFonts w:hint="eastAsia"/>
          <w:highlight w:val="none"/>
        </w:rPr>
      </w:pPr>
      <w:r>
        <w:rPr>
          <w:highlight w:val="none"/>
        </w:rPr>
        <w:t xml:space="preserve">10.2投标供应商提出的与投标有关的问题须在招标文件规定的答疑截止时间前以 </w:t>
      </w:r>
      <w:r>
        <w:rPr>
          <w:rFonts w:hint="eastAsia"/>
          <w:highlight w:val="none"/>
        </w:rPr>
        <w:t>“质疑函</w:t>
      </w:r>
      <w:r>
        <w:rPr>
          <w:highlight w:val="none"/>
        </w:rPr>
        <w:t>”</w:t>
      </w:r>
      <w:r>
        <w:rPr>
          <w:rFonts w:hint="eastAsia"/>
          <w:highlight w:val="none"/>
        </w:rPr>
        <w:t>的形式提交给采购代理机构，质疑函应该加盖质疑单位公章。</w:t>
      </w:r>
    </w:p>
    <w:p>
      <w:pPr>
        <w:tabs>
          <w:tab w:val="clear" w:pos="426"/>
        </w:tabs>
        <w:rPr>
          <w:rFonts w:hint="eastAsia"/>
          <w:highlight w:val="none"/>
        </w:rPr>
      </w:pPr>
      <w:r>
        <w:rPr>
          <w:highlight w:val="none"/>
        </w:rPr>
        <w:t>10.3采购代理机构对疑问所做出的澄清和解答，以书面答复（包括网站发布信息）为准。答疑纪要的有效性规定按照本通用条款第13.3</w:t>
      </w:r>
      <w:r>
        <w:rPr>
          <w:rFonts w:hint="eastAsia"/>
          <w:highlight w:val="none"/>
        </w:rPr>
        <w:t>、</w:t>
      </w:r>
      <w:r>
        <w:rPr>
          <w:highlight w:val="none"/>
        </w:rPr>
        <w:t>13.4</w:t>
      </w:r>
      <w:r>
        <w:rPr>
          <w:rFonts w:hint="eastAsia"/>
          <w:highlight w:val="none"/>
        </w:rPr>
        <w:t>款规定执行。</w:t>
      </w:r>
    </w:p>
    <w:p>
      <w:pPr>
        <w:tabs>
          <w:tab w:val="clear" w:pos="426"/>
        </w:tabs>
        <w:rPr>
          <w:rFonts w:hint="eastAsia"/>
          <w:highlight w:val="none"/>
        </w:rPr>
      </w:pPr>
      <w:r>
        <w:rPr>
          <w:highlight w:val="none"/>
        </w:rPr>
        <w:t>10.4如采购代理机构认为有必要组织现场答疑会，投标供应商应按照招标文件规定的时间或采购代理机构另行书面通知（包括网站发布的通知）的时间和地点，参与现场答疑会。</w:t>
      </w:r>
    </w:p>
    <w:p>
      <w:pPr>
        <w:tabs>
          <w:tab w:val="clear" w:pos="426"/>
        </w:tabs>
        <w:rPr>
          <w:rFonts w:hint="eastAsia"/>
          <w:highlight w:val="none"/>
        </w:rPr>
      </w:pPr>
      <w:r>
        <w:rPr>
          <w:highlight w:val="none"/>
        </w:rPr>
        <w:t>10.5未参与招标答疑不作为否定投标供应商资格的理由。</w:t>
      </w:r>
    </w:p>
    <w:p>
      <w:pPr>
        <w:pStyle w:val="5"/>
        <w:tabs>
          <w:tab w:val="clear" w:pos="426"/>
        </w:tabs>
        <w:rPr>
          <w:rFonts w:hint="eastAsia"/>
          <w:highlight w:val="none"/>
        </w:rPr>
      </w:pPr>
      <w:bookmarkStart w:id="145" w:name="_Toc10191"/>
      <w:bookmarkStart w:id="146" w:name="_Toc530152523"/>
      <w:bookmarkStart w:id="147" w:name="_Toc529280582"/>
      <w:bookmarkStart w:id="148" w:name="_Toc14427255"/>
      <w:r>
        <w:rPr>
          <w:rFonts w:hint="eastAsia"/>
          <w:highlight w:val="none"/>
        </w:rPr>
        <w:t>第二章 招标文件</w:t>
      </w:r>
      <w:bookmarkEnd w:id="145"/>
      <w:bookmarkEnd w:id="146"/>
      <w:bookmarkEnd w:id="147"/>
      <w:bookmarkEnd w:id="148"/>
    </w:p>
    <w:p>
      <w:pPr>
        <w:tabs>
          <w:tab w:val="clear" w:pos="426"/>
        </w:tabs>
        <w:rPr>
          <w:rFonts w:hint="eastAsia"/>
          <w:highlight w:val="none"/>
        </w:rPr>
      </w:pPr>
      <w:r>
        <w:rPr>
          <w:highlight w:val="none"/>
        </w:rPr>
        <w:t>11．招标文件的编制与组成</w:t>
      </w:r>
    </w:p>
    <w:p>
      <w:pPr>
        <w:tabs>
          <w:tab w:val="clear" w:pos="426"/>
        </w:tabs>
        <w:rPr>
          <w:rFonts w:hint="eastAsia"/>
          <w:highlight w:val="none"/>
        </w:rPr>
      </w:pPr>
      <w:r>
        <w:rPr>
          <w:highlight w:val="none"/>
        </w:rPr>
        <w:t>11.1招标文件除以下内容外，采购代理机构在招标（或谈判）期间发出的答疑纪要和其他补充修改函件，均是招标文件的组成部分，对投标供应商起约束作用；</w:t>
      </w:r>
    </w:p>
    <w:p>
      <w:pPr>
        <w:tabs>
          <w:tab w:val="clear" w:pos="426"/>
        </w:tabs>
        <w:rPr>
          <w:rFonts w:hint="eastAsia"/>
          <w:highlight w:val="none"/>
        </w:rPr>
      </w:pPr>
      <w:r>
        <w:rPr>
          <w:rFonts w:hint="eastAsia"/>
          <w:highlight w:val="none"/>
        </w:rPr>
        <w:t>招标文件包括下列内容：</w:t>
      </w:r>
    </w:p>
    <w:p>
      <w:pPr>
        <w:tabs>
          <w:tab w:val="clear" w:pos="426"/>
        </w:tabs>
        <w:rPr>
          <w:rFonts w:hint="eastAsia"/>
          <w:highlight w:val="none"/>
        </w:rPr>
      </w:pPr>
      <w:r>
        <w:rPr>
          <w:rFonts w:hint="eastAsia"/>
          <w:highlight w:val="none"/>
        </w:rPr>
        <w:t>项目关键信息</w:t>
      </w:r>
    </w:p>
    <w:p>
      <w:pPr>
        <w:tabs>
          <w:tab w:val="clear" w:pos="426"/>
        </w:tabs>
        <w:rPr>
          <w:rFonts w:hint="eastAsia"/>
          <w:highlight w:val="none"/>
        </w:rPr>
      </w:pPr>
      <w:r>
        <w:rPr>
          <w:rFonts w:hint="eastAsia"/>
          <w:highlight w:val="none"/>
        </w:rPr>
        <w:t>招标文件第一册（专用部分）</w:t>
      </w:r>
    </w:p>
    <w:p>
      <w:pPr>
        <w:tabs>
          <w:tab w:val="clear" w:pos="426"/>
        </w:tabs>
        <w:rPr>
          <w:rFonts w:hint="eastAsia"/>
          <w:highlight w:val="none"/>
        </w:rPr>
      </w:pPr>
      <w:r>
        <w:rPr>
          <w:rFonts w:hint="eastAsia"/>
          <w:highlight w:val="none"/>
        </w:rPr>
        <w:t>第一章 投标邀请</w:t>
      </w:r>
    </w:p>
    <w:p>
      <w:pPr>
        <w:tabs>
          <w:tab w:val="clear" w:pos="426"/>
        </w:tabs>
        <w:rPr>
          <w:rFonts w:hint="eastAsia"/>
          <w:highlight w:val="none"/>
        </w:rPr>
      </w:pPr>
      <w:r>
        <w:rPr>
          <w:rFonts w:hint="eastAsia"/>
          <w:highlight w:val="none"/>
        </w:rPr>
        <w:t>第二章 项目需求</w:t>
      </w:r>
    </w:p>
    <w:p>
      <w:pPr>
        <w:tabs>
          <w:tab w:val="clear" w:pos="426"/>
        </w:tabs>
        <w:rPr>
          <w:rFonts w:hint="eastAsia"/>
          <w:highlight w:val="none"/>
        </w:rPr>
      </w:pPr>
      <w:r>
        <w:rPr>
          <w:rFonts w:hint="eastAsia"/>
          <w:highlight w:val="none"/>
        </w:rPr>
        <w:t>第三章 定价方式、合同类型和风险管理措施</w:t>
      </w:r>
    </w:p>
    <w:p>
      <w:pPr>
        <w:tabs>
          <w:tab w:val="clear" w:pos="426"/>
        </w:tabs>
        <w:rPr>
          <w:rFonts w:hint="eastAsia"/>
          <w:highlight w:val="none"/>
        </w:rPr>
      </w:pPr>
      <w:r>
        <w:rPr>
          <w:rFonts w:hint="eastAsia"/>
          <w:highlight w:val="none"/>
        </w:rPr>
        <w:t>第四章 资格审查和评标方法</w:t>
      </w:r>
    </w:p>
    <w:p>
      <w:pPr>
        <w:tabs>
          <w:tab w:val="clear" w:pos="426"/>
        </w:tabs>
        <w:rPr>
          <w:rFonts w:hint="eastAsia"/>
          <w:highlight w:val="none"/>
        </w:rPr>
      </w:pPr>
      <w:r>
        <w:rPr>
          <w:rFonts w:hint="eastAsia"/>
          <w:highlight w:val="none"/>
        </w:rPr>
        <w:t>第五章 合同文本</w:t>
      </w:r>
    </w:p>
    <w:p>
      <w:pPr>
        <w:tabs>
          <w:tab w:val="clear" w:pos="426"/>
        </w:tabs>
        <w:rPr>
          <w:rFonts w:hint="eastAsia"/>
          <w:highlight w:val="none"/>
        </w:rPr>
      </w:pPr>
      <w:r>
        <w:rPr>
          <w:rFonts w:hint="eastAsia"/>
          <w:highlight w:val="none"/>
        </w:rPr>
        <w:t>第六章 投标资料表</w:t>
      </w:r>
    </w:p>
    <w:p>
      <w:pPr>
        <w:tabs>
          <w:tab w:val="clear" w:pos="426"/>
        </w:tabs>
        <w:rPr>
          <w:rFonts w:hint="eastAsia"/>
          <w:highlight w:val="none"/>
        </w:rPr>
      </w:pPr>
      <w:r>
        <w:rPr>
          <w:rFonts w:hint="eastAsia"/>
          <w:highlight w:val="none"/>
        </w:rPr>
        <w:t>第七章 投标文件格式</w:t>
      </w:r>
    </w:p>
    <w:p>
      <w:pPr>
        <w:tabs>
          <w:tab w:val="clear" w:pos="426"/>
        </w:tabs>
        <w:rPr>
          <w:rFonts w:hint="eastAsia"/>
          <w:highlight w:val="none"/>
        </w:rPr>
      </w:pPr>
      <w:r>
        <w:rPr>
          <w:rFonts w:hint="eastAsia"/>
          <w:highlight w:val="none"/>
        </w:rPr>
        <w:t>招标文件第二册（通用部分）</w:t>
      </w:r>
    </w:p>
    <w:p>
      <w:pPr>
        <w:tabs>
          <w:tab w:val="clear" w:pos="426"/>
        </w:tabs>
        <w:rPr>
          <w:rFonts w:hint="eastAsia"/>
          <w:highlight w:val="none"/>
        </w:rPr>
      </w:pPr>
      <w:r>
        <w:rPr>
          <w:rFonts w:hint="eastAsia"/>
          <w:highlight w:val="none"/>
        </w:rPr>
        <w:t>第一章 总则</w:t>
      </w:r>
    </w:p>
    <w:p>
      <w:pPr>
        <w:tabs>
          <w:tab w:val="clear" w:pos="426"/>
        </w:tabs>
        <w:rPr>
          <w:rFonts w:hint="eastAsia"/>
          <w:highlight w:val="none"/>
        </w:rPr>
      </w:pPr>
      <w:r>
        <w:rPr>
          <w:rFonts w:hint="eastAsia"/>
          <w:highlight w:val="none"/>
        </w:rPr>
        <w:t>第二章 招标文件</w:t>
      </w:r>
    </w:p>
    <w:p>
      <w:pPr>
        <w:tabs>
          <w:tab w:val="clear" w:pos="426"/>
        </w:tabs>
        <w:rPr>
          <w:rFonts w:hint="eastAsia"/>
          <w:highlight w:val="none"/>
        </w:rPr>
      </w:pPr>
      <w:r>
        <w:rPr>
          <w:rFonts w:hint="eastAsia"/>
          <w:highlight w:val="none"/>
        </w:rPr>
        <w:t>第三章 投标文件的编制与递交</w:t>
      </w:r>
    </w:p>
    <w:p>
      <w:pPr>
        <w:tabs>
          <w:tab w:val="clear" w:pos="426"/>
        </w:tabs>
        <w:rPr>
          <w:rFonts w:hint="eastAsia"/>
          <w:highlight w:val="none"/>
        </w:rPr>
      </w:pPr>
      <w:r>
        <w:rPr>
          <w:rFonts w:hint="eastAsia"/>
          <w:highlight w:val="none"/>
        </w:rPr>
        <w:t>第四章 开标</w:t>
      </w:r>
    </w:p>
    <w:p>
      <w:pPr>
        <w:tabs>
          <w:tab w:val="clear" w:pos="426"/>
        </w:tabs>
        <w:rPr>
          <w:rFonts w:hint="eastAsia"/>
          <w:highlight w:val="none"/>
        </w:rPr>
      </w:pPr>
      <w:r>
        <w:rPr>
          <w:rFonts w:hint="eastAsia"/>
          <w:highlight w:val="none"/>
        </w:rPr>
        <w:t>第五章 评标要求</w:t>
      </w:r>
    </w:p>
    <w:p>
      <w:pPr>
        <w:tabs>
          <w:tab w:val="clear" w:pos="426"/>
        </w:tabs>
        <w:rPr>
          <w:rFonts w:hint="eastAsia"/>
          <w:highlight w:val="none"/>
        </w:rPr>
      </w:pPr>
      <w:r>
        <w:rPr>
          <w:rFonts w:hint="eastAsia"/>
          <w:highlight w:val="none"/>
        </w:rPr>
        <w:t>第六章 评标程序及评标方法</w:t>
      </w:r>
    </w:p>
    <w:p>
      <w:pPr>
        <w:tabs>
          <w:tab w:val="clear" w:pos="426"/>
        </w:tabs>
        <w:rPr>
          <w:rFonts w:hint="eastAsia"/>
          <w:highlight w:val="none"/>
        </w:rPr>
      </w:pPr>
      <w:r>
        <w:rPr>
          <w:rFonts w:hint="eastAsia"/>
          <w:highlight w:val="none"/>
        </w:rPr>
        <w:t>第七章 定标及公示</w:t>
      </w:r>
    </w:p>
    <w:p>
      <w:pPr>
        <w:tabs>
          <w:tab w:val="clear" w:pos="426"/>
        </w:tabs>
        <w:rPr>
          <w:rFonts w:hint="eastAsia"/>
          <w:highlight w:val="none"/>
        </w:rPr>
      </w:pPr>
      <w:r>
        <w:rPr>
          <w:rFonts w:hint="eastAsia"/>
          <w:highlight w:val="none"/>
        </w:rPr>
        <w:t>第八章 公开招标失败的后续处理</w:t>
      </w:r>
    </w:p>
    <w:p>
      <w:pPr>
        <w:tabs>
          <w:tab w:val="clear" w:pos="426"/>
        </w:tabs>
        <w:rPr>
          <w:rFonts w:hint="eastAsia"/>
          <w:highlight w:val="none"/>
        </w:rPr>
      </w:pPr>
      <w:r>
        <w:rPr>
          <w:rFonts w:hint="eastAsia"/>
          <w:highlight w:val="none"/>
        </w:rPr>
        <w:t>第九章 合同的授予与备案</w:t>
      </w:r>
    </w:p>
    <w:p>
      <w:pPr>
        <w:tabs>
          <w:tab w:val="clear" w:pos="426"/>
        </w:tabs>
        <w:rPr>
          <w:rFonts w:hint="eastAsia"/>
          <w:highlight w:val="none"/>
        </w:rPr>
      </w:pPr>
      <w:r>
        <w:rPr>
          <w:rFonts w:hint="eastAsia"/>
          <w:highlight w:val="none"/>
        </w:rPr>
        <w:t>第十章 质疑受理</w:t>
      </w:r>
    </w:p>
    <w:p>
      <w:pPr>
        <w:tabs>
          <w:tab w:val="clear" w:pos="426"/>
        </w:tabs>
        <w:rPr>
          <w:rFonts w:hint="eastAsia"/>
          <w:highlight w:val="none"/>
        </w:rPr>
      </w:pPr>
      <w:r>
        <w:rPr>
          <w:rFonts w:hint="eastAsia"/>
          <w:highlight w:val="none"/>
        </w:rPr>
        <w:t>招标代理服务取费说明</w:t>
      </w:r>
    </w:p>
    <w:p>
      <w:pPr>
        <w:tabs>
          <w:tab w:val="clear" w:pos="426"/>
        </w:tabs>
        <w:rPr>
          <w:rFonts w:hint="eastAsia"/>
          <w:highlight w:val="none"/>
        </w:rPr>
      </w:pPr>
      <w:r>
        <w:rPr>
          <w:highlight w:val="none"/>
        </w:rPr>
        <w:t xml:space="preserve">11.2 </w:t>
      </w:r>
      <w:r>
        <w:rPr>
          <w:rFonts w:hint="eastAsia"/>
          <w:highlight w:val="none"/>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rFonts w:hint="eastAsia"/>
          <w:szCs w:val="21"/>
          <w:highlight w:val="none"/>
        </w:rPr>
      </w:pPr>
      <w:r>
        <w:rPr>
          <w:szCs w:val="21"/>
          <w:highlight w:val="none"/>
        </w:rPr>
        <w:t>11.3</w:t>
      </w:r>
      <w:r>
        <w:rPr>
          <w:rFonts w:hint="eastAsia"/>
          <w:highlight w:val="none"/>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rPr>
          <w:rFonts w:hint="eastAsia"/>
          <w:highlight w:val="none"/>
        </w:rPr>
      </w:pPr>
      <w:r>
        <w:rPr>
          <w:highlight w:val="none"/>
        </w:rPr>
        <w:t>12．招标文件的澄清</w:t>
      </w:r>
    </w:p>
    <w:p>
      <w:pPr>
        <w:tabs>
          <w:tab w:val="clear" w:pos="426"/>
        </w:tabs>
        <w:rPr>
          <w:rFonts w:hint="eastAsia"/>
          <w:highlight w:val="none"/>
        </w:rPr>
      </w:pPr>
      <w:r>
        <w:rPr>
          <w:highlight w:val="none"/>
        </w:rP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rPr>
          <w:rFonts w:hint="eastAsia"/>
          <w:highlight w:val="none"/>
        </w:rPr>
      </w:pPr>
      <w:r>
        <w:rPr>
          <w:highlight w:val="none"/>
        </w:rPr>
        <w:t>12.2对于没有提出澄清又参与了该项目投标的供应商将被视为完全认同该招标文件（含澄清纪要），投标截止期后不再受理针对招标文件的相关质疑或投诉。</w:t>
      </w:r>
    </w:p>
    <w:p>
      <w:pPr>
        <w:tabs>
          <w:tab w:val="clear" w:pos="426"/>
        </w:tabs>
        <w:rPr>
          <w:rFonts w:hint="eastAsia"/>
          <w:highlight w:val="none"/>
        </w:rPr>
      </w:pPr>
      <w:r>
        <w:rPr>
          <w:highlight w:val="none"/>
        </w:rPr>
        <w:t xml:space="preserve">12.3 </w:t>
      </w:r>
      <w:r>
        <w:rPr>
          <w:rFonts w:hint="eastAsia"/>
          <w:highlight w:val="none"/>
        </w:rPr>
        <w:t>对招标文件中描述有歧意或前后不一致的地方，评标委员会有权进行评判，但对同一条款的评判应适用于每个投标供应商。</w:t>
      </w:r>
    </w:p>
    <w:p>
      <w:pPr>
        <w:tabs>
          <w:tab w:val="clear" w:pos="426"/>
        </w:tabs>
        <w:rPr>
          <w:rFonts w:hint="eastAsia"/>
          <w:highlight w:val="none"/>
        </w:rPr>
      </w:pPr>
      <w:r>
        <w:rPr>
          <w:highlight w:val="none"/>
        </w:rPr>
        <w:t>13．招标文件的修改</w:t>
      </w:r>
    </w:p>
    <w:p>
      <w:pPr>
        <w:tabs>
          <w:tab w:val="clear" w:pos="426"/>
        </w:tabs>
        <w:rPr>
          <w:rFonts w:hint="eastAsia"/>
          <w:highlight w:val="none"/>
        </w:rPr>
      </w:pPr>
      <w:r>
        <w:rPr>
          <w:highlight w:val="none"/>
        </w:rPr>
        <w:t>13.1招标文件发出后，在投标截止日期前任何时候，确需要变更招标内容的，采购代理机构可主动地或在解答投标供应商提出的澄清问题时对招标文件进行修改；</w:t>
      </w:r>
    </w:p>
    <w:p>
      <w:pPr>
        <w:tabs>
          <w:tab w:val="clear" w:pos="426"/>
        </w:tabs>
        <w:rPr>
          <w:rFonts w:hint="eastAsia"/>
          <w:highlight w:val="none"/>
        </w:rPr>
      </w:pPr>
      <w:r>
        <w:rPr>
          <w:highlight w:val="none"/>
        </w:rPr>
        <w:t>13.2招标文件的修改以书面形式（包括网站公开发布方式）发送给所有投标供应商，招标文件的修改内容作为招标文件的组成部分，并具有约束力。</w:t>
      </w:r>
    </w:p>
    <w:p>
      <w:pPr>
        <w:tabs>
          <w:tab w:val="clear" w:pos="426"/>
        </w:tabs>
        <w:rPr>
          <w:rFonts w:hint="eastAsia"/>
          <w:highlight w:val="none"/>
        </w:rPr>
      </w:pPr>
      <w:r>
        <w:rPr>
          <w:highlight w:val="none"/>
        </w:rP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rFonts w:hint="eastAsia"/>
          <w:highlight w:val="none"/>
        </w:rPr>
      </w:pPr>
      <w:r>
        <w:rPr>
          <w:highlight w:val="none"/>
        </w:rP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rPr>
          <w:rFonts w:hint="eastAsia"/>
          <w:highlight w:val="none"/>
        </w:rPr>
      </w:pPr>
      <w:bookmarkStart w:id="149" w:name="_Toc14427256"/>
      <w:bookmarkStart w:id="150" w:name="_Toc15015"/>
      <w:bookmarkStart w:id="151" w:name="_Toc530152524"/>
      <w:bookmarkStart w:id="152" w:name="_Toc529280583"/>
      <w:r>
        <w:rPr>
          <w:rFonts w:hint="eastAsia"/>
          <w:highlight w:val="none"/>
        </w:rPr>
        <w:t>第三章 投标文件的编制与递交</w:t>
      </w:r>
      <w:bookmarkEnd w:id="149"/>
      <w:bookmarkEnd w:id="150"/>
      <w:bookmarkEnd w:id="151"/>
      <w:bookmarkEnd w:id="152"/>
    </w:p>
    <w:p>
      <w:pPr>
        <w:tabs>
          <w:tab w:val="clear" w:pos="426"/>
        </w:tabs>
        <w:rPr>
          <w:rFonts w:hint="eastAsia"/>
          <w:highlight w:val="none"/>
        </w:rPr>
      </w:pPr>
      <w:r>
        <w:rPr>
          <w:highlight w:val="none"/>
        </w:rPr>
        <w:t>14．投标文件的语言及度量单位</w:t>
      </w:r>
    </w:p>
    <w:p>
      <w:pPr>
        <w:tabs>
          <w:tab w:val="clear" w:pos="426"/>
        </w:tabs>
        <w:rPr>
          <w:rFonts w:hint="eastAsia"/>
          <w:highlight w:val="none"/>
        </w:rPr>
      </w:pPr>
      <w:r>
        <w:rPr>
          <w:highlight w:val="none"/>
        </w:rPr>
        <w:t xml:space="preserve">14.1 </w:t>
      </w:r>
      <w:r>
        <w:rPr>
          <w:rFonts w:hint="eastAsia"/>
          <w:highlight w:val="none"/>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rPr>
          <w:rFonts w:hint="eastAsia"/>
          <w:highlight w:val="none"/>
        </w:rPr>
      </w:pPr>
      <w:r>
        <w:rPr>
          <w:highlight w:val="none"/>
        </w:rPr>
        <w:t xml:space="preserve">14.2 </w:t>
      </w:r>
      <w:r>
        <w:rPr>
          <w:rFonts w:hint="eastAsia"/>
          <w:highlight w:val="none"/>
        </w:rPr>
        <w:t>除技术规范另有规定外，投标文件使用的度量单位，均采用中华人民共和国法定计量单位。</w:t>
      </w:r>
    </w:p>
    <w:p>
      <w:pPr>
        <w:tabs>
          <w:tab w:val="clear" w:pos="426"/>
        </w:tabs>
        <w:rPr>
          <w:rFonts w:hint="eastAsia"/>
          <w:highlight w:val="none"/>
        </w:rPr>
      </w:pPr>
      <w:r>
        <w:rPr>
          <w:highlight w:val="none"/>
        </w:rPr>
        <w:t>15．投标文件的组成</w:t>
      </w:r>
    </w:p>
    <w:p>
      <w:pPr>
        <w:tabs>
          <w:tab w:val="clear" w:pos="426"/>
        </w:tabs>
        <w:rPr>
          <w:rFonts w:hint="eastAsia"/>
          <w:highlight w:val="none"/>
        </w:rPr>
      </w:pPr>
      <w:r>
        <w:rPr>
          <w:rFonts w:hint="eastAsia"/>
          <w:highlight w:val="none"/>
        </w:rPr>
        <w:t>具体内容请详见本项目专用条款的相关内容。</w:t>
      </w:r>
    </w:p>
    <w:p>
      <w:pPr>
        <w:tabs>
          <w:tab w:val="clear" w:pos="426"/>
        </w:tabs>
        <w:rPr>
          <w:rFonts w:hint="eastAsia"/>
          <w:highlight w:val="none"/>
        </w:rPr>
      </w:pPr>
      <w:r>
        <w:rPr>
          <w:highlight w:val="none"/>
        </w:rPr>
        <w:t xml:space="preserve">16. </w:t>
      </w:r>
      <w:r>
        <w:rPr>
          <w:rFonts w:hint="eastAsia"/>
          <w:highlight w:val="none"/>
        </w:rPr>
        <w:t>投标文件格式</w:t>
      </w:r>
    </w:p>
    <w:p>
      <w:pPr>
        <w:tabs>
          <w:tab w:val="clear" w:pos="426"/>
        </w:tabs>
        <w:rPr>
          <w:rFonts w:hint="eastAsia"/>
          <w:highlight w:val="none"/>
        </w:rPr>
      </w:pPr>
      <w:r>
        <w:rPr>
          <w:highlight w:val="none"/>
        </w:rPr>
        <w:t>16.1</w:t>
      </w:r>
      <w:r>
        <w:rPr>
          <w:rFonts w:hint="eastAsia"/>
          <w:highlight w:val="none"/>
        </w:rPr>
        <w:t>投标文件包括本通用条款第</w:t>
      </w:r>
      <w:r>
        <w:rPr>
          <w:highlight w:val="none"/>
        </w:rP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rPr>
          <w:rFonts w:hint="eastAsia"/>
          <w:highlight w:val="none"/>
        </w:rPr>
      </w:pPr>
      <w:r>
        <w:rPr>
          <w:highlight w:val="none"/>
        </w:rPr>
        <w:t>17．投标货币</w:t>
      </w:r>
    </w:p>
    <w:p>
      <w:pPr>
        <w:tabs>
          <w:tab w:val="clear" w:pos="426"/>
        </w:tabs>
        <w:rPr>
          <w:rFonts w:hint="eastAsia"/>
          <w:highlight w:val="none"/>
        </w:rPr>
      </w:pPr>
      <w:r>
        <w:rPr>
          <w:rFonts w:hint="eastAsia"/>
          <w:highlight w:val="none"/>
        </w:rPr>
        <w:t>本项目的投标应以人民币计。</w:t>
      </w:r>
    </w:p>
    <w:p>
      <w:pPr>
        <w:widowControl w:val="0"/>
        <w:shd w:val="clear" w:color="auto" w:fill="auto"/>
        <w:tabs>
          <w:tab w:val="clear" w:pos="426"/>
        </w:tabs>
        <w:autoSpaceDE w:val="0"/>
        <w:autoSpaceDN w:val="0"/>
        <w:rPr>
          <w:rFonts w:hint="eastAsia"/>
          <w:highlight w:val="none"/>
        </w:rPr>
      </w:pPr>
      <w:r>
        <w:rPr>
          <w:highlight w:val="none"/>
        </w:rPr>
        <w:t xml:space="preserve">18. </w:t>
      </w:r>
      <w:r>
        <w:rPr>
          <w:rFonts w:hint="eastAsia"/>
          <w:highlight w:val="none"/>
        </w:rPr>
        <w:t>证明投标供应商合格和资格的文件</w:t>
      </w:r>
    </w:p>
    <w:p>
      <w:pPr>
        <w:widowControl w:val="0"/>
        <w:shd w:val="clear" w:color="auto" w:fill="auto"/>
        <w:tabs>
          <w:tab w:val="clear" w:pos="426"/>
        </w:tabs>
        <w:autoSpaceDE w:val="0"/>
        <w:autoSpaceDN w:val="0"/>
        <w:rPr>
          <w:rFonts w:hint="eastAsia" w:cs="黑体"/>
          <w:b/>
          <w:bCs/>
          <w:szCs w:val="21"/>
          <w:highlight w:val="none"/>
        </w:rPr>
      </w:pPr>
      <w:r>
        <w:rPr>
          <w:szCs w:val="21"/>
          <w:highlight w:val="none"/>
        </w:rPr>
        <w:t xml:space="preserve">18.1 </w:t>
      </w:r>
      <w:r>
        <w:rPr>
          <w:rFonts w:hint="eastAsia"/>
          <w:szCs w:val="21"/>
          <w:highlight w:val="none"/>
          <w:lang w:eastAsia="zh-TW"/>
        </w:rPr>
        <w:t>投标供应商应提交证明其有资格参加投标和中标后有能力履行合同的文件</w:t>
      </w:r>
      <w:r>
        <w:rPr>
          <w:rFonts w:hint="eastAsia"/>
          <w:szCs w:val="21"/>
          <w:highlight w:val="none"/>
        </w:rPr>
        <w:t>，</w:t>
      </w:r>
      <w:r>
        <w:rPr>
          <w:rFonts w:hint="eastAsia"/>
          <w:szCs w:val="21"/>
          <w:highlight w:val="none"/>
          <w:lang w:eastAsia="zh-TW"/>
        </w:rPr>
        <w:t>并作为其投标文件的一部分。如果投标供应商为联合体</w:t>
      </w:r>
      <w:r>
        <w:rPr>
          <w:rFonts w:hint="eastAsia"/>
          <w:szCs w:val="21"/>
          <w:highlight w:val="none"/>
        </w:rPr>
        <w:t>，</w:t>
      </w:r>
      <w:r>
        <w:rPr>
          <w:rFonts w:hint="eastAsia"/>
          <w:szCs w:val="21"/>
          <w:highlight w:val="none"/>
          <w:lang w:eastAsia="zh-TW"/>
        </w:rPr>
        <w:t>应提交联合体各方的资格证明文件、</w:t>
      </w:r>
      <w:r>
        <w:rPr>
          <w:rFonts w:hint="eastAsia"/>
          <w:szCs w:val="21"/>
          <w:highlight w:val="none"/>
        </w:rPr>
        <w:t>共同投标协议</w:t>
      </w:r>
      <w:r>
        <w:rPr>
          <w:rFonts w:hint="eastAsia"/>
          <w:szCs w:val="21"/>
          <w:highlight w:val="none"/>
          <w:lang w:eastAsia="zh-TW"/>
        </w:rPr>
        <w:t>并注明</w:t>
      </w:r>
      <w:r>
        <w:rPr>
          <w:rFonts w:hint="eastAsia"/>
          <w:szCs w:val="21"/>
          <w:highlight w:val="none"/>
        </w:rPr>
        <w:t>主体方及各方拟承担的工作和责任。</w:t>
      </w:r>
      <w:r>
        <w:rPr>
          <w:rFonts w:hint="eastAsia"/>
          <w:szCs w:val="21"/>
          <w:highlight w:val="none"/>
          <w:lang w:eastAsia="zh-TW"/>
        </w:rPr>
        <w:t>否则</w:t>
      </w:r>
      <w:r>
        <w:rPr>
          <w:rFonts w:hint="eastAsia"/>
          <w:szCs w:val="21"/>
          <w:highlight w:val="none"/>
        </w:rPr>
        <w:t>，</w:t>
      </w:r>
      <w:r>
        <w:rPr>
          <w:rFonts w:hint="eastAsia"/>
          <w:szCs w:val="21"/>
          <w:highlight w:val="none"/>
          <w:lang w:eastAsia="zh-TW"/>
        </w:rPr>
        <w:t>将导致其投标</w:t>
      </w:r>
      <w:r>
        <w:rPr>
          <w:rFonts w:hint="eastAsia"/>
          <w:szCs w:val="21"/>
          <w:highlight w:val="none"/>
        </w:rPr>
        <w:t>无效。</w:t>
      </w:r>
    </w:p>
    <w:p>
      <w:pPr>
        <w:widowControl w:val="0"/>
        <w:shd w:val="clear" w:color="auto" w:fill="auto"/>
        <w:tabs>
          <w:tab w:val="clear" w:pos="426"/>
        </w:tabs>
        <w:autoSpaceDE w:val="0"/>
        <w:autoSpaceDN w:val="0"/>
        <w:rPr>
          <w:rFonts w:hint="eastAsia"/>
          <w:szCs w:val="21"/>
          <w:highlight w:val="none"/>
          <w:lang w:eastAsia="zh-TW"/>
        </w:rPr>
      </w:pPr>
      <w:r>
        <w:rPr>
          <w:szCs w:val="21"/>
          <w:highlight w:val="none"/>
        </w:rPr>
        <w:t xml:space="preserve">18.2 </w:t>
      </w:r>
      <w:r>
        <w:rPr>
          <w:rFonts w:hint="eastAsia"/>
          <w:szCs w:val="21"/>
          <w:highlight w:val="none"/>
          <w:lang w:eastAsia="zh-TW"/>
        </w:rPr>
        <w:t>投标供应商提交的资格证明文件应证明其</w:t>
      </w:r>
      <w:r>
        <w:rPr>
          <w:rFonts w:hint="eastAsia"/>
          <w:szCs w:val="21"/>
          <w:highlight w:val="none"/>
        </w:rPr>
        <w:t>满足</w:t>
      </w:r>
      <w:r>
        <w:rPr>
          <w:rFonts w:hint="eastAsia"/>
          <w:szCs w:val="21"/>
          <w:highlight w:val="none"/>
          <w:lang w:eastAsia="zh-TW"/>
        </w:rPr>
        <w:t>本须知定义的合格投标供应商。</w:t>
      </w:r>
    </w:p>
    <w:p>
      <w:pPr>
        <w:tabs>
          <w:tab w:val="clear" w:pos="426"/>
        </w:tabs>
        <w:rPr>
          <w:rFonts w:hint="eastAsia"/>
          <w:highlight w:val="none"/>
        </w:rPr>
      </w:pPr>
      <w:r>
        <w:rPr>
          <w:highlight w:val="none"/>
        </w:rPr>
        <w:t>19．证明投标文件投标技术方案的合格性和符合招标文件规定的文件要求</w:t>
      </w:r>
    </w:p>
    <w:p>
      <w:pPr>
        <w:tabs>
          <w:tab w:val="clear" w:pos="426"/>
        </w:tabs>
        <w:rPr>
          <w:rFonts w:hint="eastAsia"/>
          <w:highlight w:val="none"/>
        </w:rPr>
      </w:pPr>
      <w:r>
        <w:rPr>
          <w:highlight w:val="none"/>
        </w:rPr>
        <w:t xml:space="preserve">19.1 </w:t>
      </w:r>
      <w:r>
        <w:rPr>
          <w:rFonts w:hint="eastAsia"/>
          <w:highlight w:val="none"/>
        </w:rPr>
        <w:t>投标供应商应提交证明文件证明其投标技术方案项下的货物、工程和服务的合格性符合招标文件规定。该投标技术方案及其证明文件作为投标文件的一部分。</w:t>
      </w:r>
    </w:p>
    <w:p>
      <w:pPr>
        <w:tabs>
          <w:tab w:val="clear" w:pos="426"/>
        </w:tabs>
        <w:rPr>
          <w:rFonts w:hint="eastAsia"/>
          <w:highlight w:val="none"/>
        </w:rPr>
      </w:pPr>
      <w:r>
        <w:rPr>
          <w:highlight w:val="none"/>
        </w:rPr>
        <w:t xml:space="preserve">19.2 </w:t>
      </w:r>
      <w:r>
        <w:rPr>
          <w:rFonts w:hint="eastAsia"/>
          <w:highlight w:val="none"/>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rPr>
          <w:rFonts w:hint="eastAsia"/>
          <w:highlight w:val="none"/>
        </w:rPr>
      </w:pPr>
      <w:r>
        <w:rPr>
          <w:highlight w:val="none"/>
        </w:rPr>
        <w:t>19.2.1主要技术指标和性能的详细说明。</w:t>
      </w:r>
    </w:p>
    <w:p>
      <w:pPr>
        <w:tabs>
          <w:tab w:val="clear" w:pos="426"/>
        </w:tabs>
        <w:rPr>
          <w:rFonts w:hint="eastAsia"/>
          <w:highlight w:val="none"/>
        </w:rPr>
      </w:pPr>
      <w:r>
        <w:rPr>
          <w:highlight w:val="none"/>
        </w:rPr>
        <w:t>19.2.2</w:t>
      </w:r>
      <w:r>
        <w:rPr>
          <w:rFonts w:hint="eastAsia"/>
          <w:highlight w:val="none"/>
        </w:rPr>
        <w:t>投标产品从采购单位开始使用至招标文件中规定的周期内正常、连续地使用所必须的备件和专用工具清单，包括备件和专用工具的货源及现行价格。</w:t>
      </w:r>
    </w:p>
    <w:p>
      <w:pPr>
        <w:tabs>
          <w:tab w:val="clear" w:pos="426"/>
        </w:tabs>
        <w:rPr>
          <w:rFonts w:hint="eastAsia"/>
          <w:highlight w:val="none"/>
        </w:rPr>
      </w:pPr>
      <w:r>
        <w:rPr>
          <w:highlight w:val="none"/>
        </w:rPr>
        <w:t>19.2.3</w:t>
      </w:r>
      <w:r>
        <w:rPr>
          <w:rFonts w:hint="eastAsia"/>
          <w:highlight w:val="none"/>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rPr>
          <w:rFonts w:hint="eastAsia"/>
          <w:highlight w:val="none"/>
        </w:rPr>
      </w:pPr>
      <w:r>
        <w:rPr>
          <w:highlight w:val="none"/>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rFonts w:hint="eastAsia"/>
          <w:highlight w:val="none"/>
        </w:rPr>
      </w:pPr>
      <w:r>
        <w:rPr>
          <w:highlight w:val="none"/>
        </w:rPr>
        <w:t>19.2.5我国政府机构出具的产品检验和核准证件应为证件正面、背面和附件标注的全部具体内容；产品检验和核准证件应能清晰的阅读、识别和判断，提供原件复印件。</w:t>
      </w:r>
    </w:p>
    <w:p>
      <w:pPr>
        <w:tabs>
          <w:tab w:val="clear" w:pos="426"/>
        </w:tabs>
        <w:rPr>
          <w:rFonts w:hint="eastAsia"/>
          <w:highlight w:val="none"/>
        </w:rPr>
      </w:pPr>
      <w:r>
        <w:rPr>
          <w:highlight w:val="none"/>
        </w:rPr>
        <w:t>19.3相关资料不符合19.2款要求的，评标委员会有权认定为投标技术方案不合格响应，其相关分数予以扣减或作废标处理。</w:t>
      </w:r>
    </w:p>
    <w:p>
      <w:pPr>
        <w:tabs>
          <w:tab w:val="clear" w:pos="426"/>
        </w:tabs>
        <w:rPr>
          <w:rFonts w:hint="eastAsia"/>
          <w:highlight w:val="none"/>
        </w:rPr>
      </w:pPr>
      <w:r>
        <w:rPr>
          <w:highlight w:val="none"/>
        </w:rP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rPr>
          <w:rFonts w:hint="eastAsia"/>
          <w:highlight w:val="none"/>
        </w:rPr>
      </w:pPr>
      <w:r>
        <w:rPr>
          <w:highlight w:val="none"/>
        </w:rPr>
        <w:t>19.5投标供应商在阐述上述第18.2时应注意采购单位在技术规格中指出的工艺、材料和</w:t>
      </w:r>
      <w:r>
        <w:rPr>
          <w:rFonts w:hint="eastAsia"/>
          <w:highlight w:val="none"/>
        </w:rPr>
        <w:t>设备</w:t>
      </w:r>
      <w:r>
        <w:rPr>
          <w:highlight w:val="none"/>
        </w:rP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rPr>
          <w:rFonts w:hint="eastAsia"/>
          <w:highlight w:val="none"/>
        </w:rPr>
      </w:pPr>
      <w:r>
        <w:rPr>
          <w:highlight w:val="none"/>
        </w:rPr>
        <w:t>19.6为保证公平公正，除非另有规定或说明，投标供应商对同一货物或服务投标时，不得同时提供两套或两套以上的投标方案。</w:t>
      </w:r>
    </w:p>
    <w:p>
      <w:pPr>
        <w:tabs>
          <w:tab w:val="clear" w:pos="426"/>
        </w:tabs>
        <w:rPr>
          <w:rFonts w:hint="eastAsia"/>
          <w:highlight w:val="none"/>
        </w:rPr>
      </w:pPr>
      <w:r>
        <w:rPr>
          <w:highlight w:val="none"/>
        </w:rPr>
        <w:t>20．投标文件其他证明文件的要求</w:t>
      </w:r>
    </w:p>
    <w:p>
      <w:pPr>
        <w:tabs>
          <w:tab w:val="clear" w:pos="426"/>
        </w:tabs>
        <w:rPr>
          <w:rFonts w:hint="eastAsia"/>
          <w:highlight w:val="none"/>
        </w:rPr>
      </w:pPr>
      <w:r>
        <w:rPr>
          <w:highlight w:val="none"/>
        </w:rP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rPr>
          <w:rFonts w:hint="eastAsia"/>
          <w:highlight w:val="none"/>
        </w:rPr>
      </w:pPr>
      <w:r>
        <w:rPr>
          <w:highlight w:val="none"/>
        </w:rP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rPr>
          <w:rFonts w:hint="eastAsia"/>
          <w:highlight w:val="none"/>
        </w:rPr>
      </w:pPr>
      <w:r>
        <w:rPr>
          <w:highlight w:val="none"/>
        </w:rPr>
        <w:t>21．投标有效期</w:t>
      </w:r>
    </w:p>
    <w:p>
      <w:pPr>
        <w:tabs>
          <w:tab w:val="clear" w:pos="426"/>
        </w:tabs>
        <w:rPr>
          <w:rFonts w:hint="eastAsia"/>
          <w:highlight w:val="none"/>
        </w:rPr>
      </w:pPr>
      <w:r>
        <w:rPr>
          <w:highlight w:val="none"/>
        </w:rPr>
        <w:t xml:space="preserve">21.1 </w:t>
      </w:r>
      <w:r>
        <w:rPr>
          <w:rFonts w:hint="eastAsia"/>
          <w:highlight w:val="none"/>
        </w:rPr>
        <w:t>投标有效期为从投标截止之日算起的日历天数，具体见专用条款中投标有效期的天数要求。在此期限内，所有投标文件均保持有效；</w:t>
      </w:r>
    </w:p>
    <w:p>
      <w:pPr>
        <w:tabs>
          <w:tab w:val="clear" w:pos="426"/>
        </w:tabs>
        <w:rPr>
          <w:rFonts w:hint="eastAsia"/>
          <w:highlight w:val="none"/>
        </w:rPr>
      </w:pPr>
      <w:r>
        <w:rPr>
          <w:highlight w:val="none"/>
        </w:rPr>
        <w:t xml:space="preserve">21.2 </w:t>
      </w:r>
      <w:r>
        <w:rPr>
          <w:rFonts w:hint="eastAsia"/>
          <w:highlight w:val="none"/>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rPr>
          <w:highlight w:val="none"/>
        </w:rPr>
        <w:t>22条关于投标保证金的退还与没收的规定仍然适用；</w:t>
      </w:r>
    </w:p>
    <w:p>
      <w:pPr>
        <w:tabs>
          <w:tab w:val="clear" w:pos="426"/>
        </w:tabs>
        <w:rPr>
          <w:rFonts w:hint="eastAsia"/>
          <w:highlight w:val="none"/>
        </w:rPr>
      </w:pPr>
      <w:r>
        <w:rPr>
          <w:highlight w:val="none"/>
        </w:rPr>
        <w:t>21.3 中标单位的投标书有效期，截止于完成本招标文件规定的全部项目内容，并通过竣工验收及保修结束。</w:t>
      </w:r>
    </w:p>
    <w:p>
      <w:pPr>
        <w:tabs>
          <w:tab w:val="clear" w:pos="426"/>
        </w:tabs>
        <w:rPr>
          <w:rFonts w:hint="eastAsia"/>
          <w:highlight w:val="none"/>
        </w:rPr>
      </w:pPr>
      <w:r>
        <w:rPr>
          <w:highlight w:val="none"/>
        </w:rPr>
        <w:t>22．投标保证金</w:t>
      </w:r>
    </w:p>
    <w:p>
      <w:pPr>
        <w:tabs>
          <w:tab w:val="clear" w:pos="426"/>
        </w:tabs>
        <w:rPr>
          <w:rFonts w:hint="eastAsia"/>
          <w:highlight w:val="none"/>
        </w:rPr>
      </w:pPr>
      <w:r>
        <w:rPr>
          <w:highlight w:val="none"/>
        </w:rPr>
        <w:t>22.1投标保证金的缴纳：</w:t>
      </w:r>
      <w:r>
        <w:rPr>
          <w:rFonts w:hint="eastAsia"/>
          <w:b/>
          <w:highlight w:val="none"/>
        </w:rPr>
        <w:t>（本项目不适用）</w:t>
      </w:r>
    </w:p>
    <w:p>
      <w:pPr>
        <w:tabs>
          <w:tab w:val="clear" w:pos="426"/>
        </w:tabs>
        <w:rPr>
          <w:rFonts w:hint="eastAsia"/>
          <w:highlight w:val="none"/>
        </w:rPr>
      </w:pPr>
      <w:r>
        <w:rPr>
          <w:highlight w:val="none"/>
        </w:rPr>
        <w:t>22.1.1缴纳投标保证金的方式：参与投标前须缴纳</w:t>
      </w:r>
      <w:r>
        <w:rPr>
          <w:rFonts w:hint="eastAsia"/>
          <w:highlight w:val="none"/>
        </w:rPr>
        <w:t>/</w:t>
      </w:r>
      <w:r>
        <w:rPr>
          <w:highlight w:val="none"/>
        </w:rPr>
        <w:t>万元保证金，落标或中标项目完成后返还，参与投标前未缴纳的，其投标将不予受理。</w:t>
      </w:r>
    </w:p>
    <w:p>
      <w:pPr>
        <w:tabs>
          <w:tab w:val="clear" w:pos="426"/>
        </w:tabs>
        <w:rPr>
          <w:rFonts w:hint="eastAsia"/>
          <w:highlight w:val="none"/>
        </w:rPr>
      </w:pPr>
      <w:r>
        <w:rPr>
          <w:highlight w:val="none"/>
        </w:rPr>
        <w:t xml:space="preserve">22.1.2 </w:t>
      </w:r>
      <w:r>
        <w:rPr>
          <w:rFonts w:hint="eastAsia"/>
          <w:highlight w:val="none"/>
        </w:rPr>
        <w:t>若为重大项目，采购代理机构可自行决定另外收取投标保证金，不受</w:t>
      </w:r>
      <w:r>
        <w:rPr>
          <w:highlight w:val="none"/>
        </w:rPr>
        <w:t>22.1.1款限制。是否另外收取投标保证金，请见本招标文件专用条款《对通用条款的补充内容》中的相关要求。</w:t>
      </w:r>
    </w:p>
    <w:p>
      <w:pPr>
        <w:tabs>
          <w:tab w:val="clear" w:pos="426"/>
        </w:tabs>
        <w:rPr>
          <w:rFonts w:hint="eastAsia"/>
          <w:szCs w:val="21"/>
          <w:highlight w:val="none"/>
        </w:rPr>
      </w:pPr>
      <w:r>
        <w:rPr>
          <w:szCs w:val="21"/>
          <w:highlight w:val="none"/>
        </w:rPr>
        <w:t>22.2</w:t>
      </w:r>
      <w:r>
        <w:rPr>
          <w:rFonts w:hint="eastAsia"/>
          <w:highlight w:val="none"/>
        </w:rPr>
        <w:t>投标保证金是为了保护采购代理机构和采购单位免因投标供应商的行为而蒙受损失。采购代理机构和采购单位因投标供应商的行为受到损害时可根据本通用条款第</w:t>
      </w:r>
      <w:r>
        <w:rPr>
          <w:szCs w:val="21"/>
          <w:highlight w:val="none"/>
        </w:rPr>
        <w:t>22.3款</w:t>
      </w:r>
      <w:r>
        <w:rPr>
          <w:rFonts w:hint="eastAsia"/>
          <w:highlight w:val="none"/>
        </w:rPr>
        <w:t>的规定没收投标供应商的投标保证金。</w:t>
      </w:r>
    </w:p>
    <w:p>
      <w:pPr>
        <w:tabs>
          <w:tab w:val="clear" w:pos="426"/>
        </w:tabs>
        <w:rPr>
          <w:rFonts w:hint="eastAsia"/>
          <w:highlight w:val="none"/>
        </w:rPr>
      </w:pPr>
      <w:r>
        <w:rPr>
          <w:highlight w:val="none"/>
        </w:rPr>
        <w:t>22.3如下列任何情况发生时，投标保证金将被没收。</w:t>
      </w:r>
    </w:p>
    <w:p>
      <w:pPr>
        <w:tabs>
          <w:tab w:val="clear" w:pos="426"/>
        </w:tabs>
        <w:rPr>
          <w:rFonts w:hint="eastAsia"/>
          <w:highlight w:val="none"/>
        </w:rPr>
      </w:pPr>
      <w:r>
        <w:rPr>
          <w:highlight w:val="none"/>
        </w:rPr>
        <w:t>1）投标供应商在招标文件中规定的投标有效期内撤回其投标；</w:t>
      </w:r>
    </w:p>
    <w:p>
      <w:pPr>
        <w:tabs>
          <w:tab w:val="clear" w:pos="426"/>
        </w:tabs>
        <w:rPr>
          <w:rFonts w:hint="eastAsia"/>
          <w:highlight w:val="none"/>
        </w:rPr>
      </w:pPr>
      <w:r>
        <w:rPr>
          <w:highlight w:val="none"/>
        </w:rPr>
        <w:t>2）中标供应商在规定期限内未能根据本项通用条款第47条规定签订合同；</w:t>
      </w:r>
    </w:p>
    <w:p>
      <w:pPr>
        <w:tabs>
          <w:tab w:val="clear" w:pos="426"/>
        </w:tabs>
        <w:rPr>
          <w:rFonts w:hint="eastAsia"/>
          <w:highlight w:val="none"/>
        </w:rPr>
      </w:pPr>
      <w:r>
        <w:rPr>
          <w:highlight w:val="none"/>
        </w:rPr>
        <w:t>3）投标供应商提供虚假投标文件或虚假补充文件：</w:t>
      </w:r>
    </w:p>
    <w:p>
      <w:pPr>
        <w:tabs>
          <w:tab w:val="clear" w:pos="426"/>
        </w:tabs>
        <w:rPr>
          <w:rFonts w:hint="eastAsia"/>
          <w:highlight w:val="none"/>
        </w:rPr>
      </w:pPr>
      <w:r>
        <w:rPr>
          <w:highlight w:val="none"/>
        </w:rPr>
        <w:t>4）投标供应商以谋取中标为目的的技术规格模糊响应（如有意照搬照抄招标文件的技术要求）或虚假响应的；</w:t>
      </w:r>
    </w:p>
    <w:p>
      <w:pPr>
        <w:tabs>
          <w:tab w:val="clear" w:pos="426"/>
        </w:tabs>
        <w:rPr>
          <w:rFonts w:hint="eastAsia"/>
          <w:highlight w:val="none"/>
        </w:rPr>
      </w:pPr>
      <w:r>
        <w:rPr>
          <w:highlight w:val="none"/>
        </w:rPr>
        <w:t>5）投标供应商质疑投诉提供虚假情况。</w:t>
      </w:r>
    </w:p>
    <w:p>
      <w:pPr>
        <w:tabs>
          <w:tab w:val="clear" w:pos="426"/>
        </w:tabs>
        <w:rPr>
          <w:rFonts w:hint="eastAsia"/>
          <w:highlight w:val="none"/>
        </w:rPr>
      </w:pPr>
      <w:r>
        <w:rPr>
          <w:highlight w:val="none"/>
        </w:rPr>
        <w:t>22.4</w:t>
      </w:r>
      <w:r>
        <w:rPr>
          <w:rFonts w:hint="eastAsia"/>
          <w:highlight w:val="none"/>
        </w:rPr>
        <w:t>不再收取</w:t>
      </w:r>
      <w:r>
        <w:rPr>
          <w:highlight w:val="none"/>
        </w:rPr>
        <w:t>投标保证金</w:t>
      </w:r>
      <w:r>
        <w:rPr>
          <w:rFonts w:hint="eastAsia"/>
          <w:highlight w:val="none"/>
        </w:rPr>
        <w:t>。</w:t>
      </w:r>
    </w:p>
    <w:p>
      <w:pPr>
        <w:tabs>
          <w:tab w:val="clear" w:pos="426"/>
        </w:tabs>
        <w:rPr>
          <w:rFonts w:hint="eastAsia"/>
          <w:highlight w:val="none"/>
        </w:rPr>
      </w:pPr>
      <w:r>
        <w:rPr>
          <w:highlight w:val="none"/>
        </w:rPr>
        <w:t>23．投标供应商的替代方案</w:t>
      </w:r>
    </w:p>
    <w:p>
      <w:pPr>
        <w:tabs>
          <w:tab w:val="clear" w:pos="426"/>
        </w:tabs>
        <w:rPr>
          <w:rFonts w:hint="eastAsia"/>
          <w:highlight w:val="none"/>
        </w:rPr>
      </w:pPr>
      <w:r>
        <w:rPr>
          <w:highlight w:val="none"/>
        </w:rP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rFonts w:hint="eastAsia"/>
          <w:bCs/>
          <w:sz w:val="30"/>
          <w:szCs w:val="30"/>
          <w:highlight w:val="none"/>
        </w:rPr>
      </w:pPr>
      <w:r>
        <w:rPr>
          <w:highlight w:val="none"/>
        </w:rPr>
        <w:t xml:space="preserve">23.2 </w:t>
      </w:r>
      <w:r>
        <w:rPr>
          <w:rFonts w:hint="eastAsia"/>
          <w:highlight w:val="none"/>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rPr>
          <w:rFonts w:hint="eastAsia"/>
          <w:highlight w:val="none"/>
        </w:rPr>
      </w:pPr>
      <w:r>
        <w:rPr>
          <w:highlight w:val="none"/>
        </w:rPr>
        <w:t xml:space="preserve">24． </w:t>
      </w:r>
      <w:r>
        <w:rPr>
          <w:rFonts w:hint="eastAsia"/>
          <w:highlight w:val="none"/>
        </w:rPr>
        <w:t>投标文件的密封、标记和装订</w:t>
      </w:r>
    </w:p>
    <w:p>
      <w:pPr>
        <w:widowControl w:val="0"/>
        <w:shd w:val="clear" w:color="auto" w:fill="auto"/>
        <w:tabs>
          <w:tab w:val="clear" w:pos="426"/>
        </w:tabs>
        <w:autoSpaceDE w:val="0"/>
        <w:autoSpaceDN w:val="0"/>
        <w:rPr>
          <w:rFonts w:hint="eastAsia" w:cs="黑体"/>
          <w:bCs/>
          <w:szCs w:val="21"/>
          <w:highlight w:val="none"/>
        </w:rPr>
      </w:pPr>
      <w:r>
        <w:rPr>
          <w:highlight w:val="none"/>
        </w:rPr>
        <w:t xml:space="preserve">24.1 </w:t>
      </w:r>
      <w:r>
        <w:rPr>
          <w:rFonts w:hint="eastAsia" w:cs="黑体"/>
          <w:bCs/>
          <w:szCs w:val="21"/>
          <w:highlight w:val="none"/>
        </w:rPr>
        <w:t>为方便开标唱标，投标供应商应单独提交一个密封信封，并在信封上标明“开标信封”的字样，内容包括开标一览表</w:t>
      </w:r>
      <w:r>
        <w:rPr>
          <w:rFonts w:cs="黑体"/>
          <w:bCs/>
          <w:szCs w:val="21"/>
          <w:highlight w:val="none"/>
        </w:rPr>
        <w:t>(报价表)、法定代表人证明书或法定代表人授权委托书、</w:t>
      </w:r>
      <w:r>
        <w:rPr>
          <w:rFonts w:hint="eastAsia"/>
          <w:szCs w:val="21"/>
          <w:highlight w:val="none"/>
        </w:rPr>
        <w:t>投标文件电子光盘</w:t>
      </w:r>
      <w:r>
        <w:rPr>
          <w:rFonts w:hint="eastAsia" w:cs="黑体"/>
          <w:bCs/>
          <w:szCs w:val="21"/>
          <w:highlight w:val="none"/>
        </w:rPr>
        <w:t>，若本项目（或包组）接受联合体投标，则联合体投标，应将各方共同签署的《联合投标协议》和《投标联合体授权主体方协议书》一并提交。开标信封是投标文件的组成部分。</w:t>
      </w:r>
    </w:p>
    <w:p>
      <w:pPr>
        <w:tabs>
          <w:tab w:val="clear" w:pos="426"/>
        </w:tabs>
        <w:rPr>
          <w:rFonts w:hint="eastAsia"/>
          <w:szCs w:val="21"/>
          <w:highlight w:val="none"/>
        </w:rPr>
      </w:pPr>
      <w:r>
        <w:rPr>
          <w:highlight w:val="none"/>
        </w:rPr>
        <w:t xml:space="preserve">24.2 </w:t>
      </w:r>
      <w:r>
        <w:rPr>
          <w:rFonts w:hint="eastAsia"/>
          <w:highlight w:val="none"/>
        </w:rPr>
        <w:t>投标文件为纸质投标文件，</w:t>
      </w:r>
      <w:r>
        <w:rPr>
          <w:rFonts w:hint="eastAsia"/>
          <w:szCs w:val="21"/>
          <w:highlight w:val="none"/>
        </w:rPr>
        <w:t>含正本和副本，投标文件应标明项目编号、招标项目名称及“正本”或“副本”。</w:t>
      </w:r>
      <w:r>
        <w:rPr>
          <w:rFonts w:hint="eastAsia"/>
          <w:highlight w:val="none"/>
        </w:rPr>
        <w:t>投标文件的所有内容应按</w:t>
      </w:r>
      <w:r>
        <w:rPr>
          <w:highlight w:val="none"/>
        </w:rPr>
        <w:t>A4篇幅装订成一册，装订应牢固不可拆卸。装订好的投标文件密封包装在一个外密封袋中，并在外密封袋上注明：</w:t>
      </w:r>
    </w:p>
    <w:p>
      <w:pPr>
        <w:tabs>
          <w:tab w:val="clear" w:pos="426"/>
        </w:tabs>
        <w:rPr>
          <w:rFonts w:hint="eastAsia"/>
          <w:highlight w:val="none"/>
        </w:rPr>
      </w:pPr>
      <w:r>
        <w:rPr>
          <w:rFonts w:hint="eastAsia"/>
          <w:highlight w:val="none"/>
        </w:rPr>
        <w:t>投标文件</w:t>
      </w:r>
    </w:p>
    <w:p>
      <w:pPr>
        <w:tabs>
          <w:tab w:val="clear" w:pos="426"/>
        </w:tabs>
        <w:rPr>
          <w:rFonts w:hint="eastAsia"/>
          <w:highlight w:val="none"/>
        </w:rPr>
      </w:pPr>
      <w:r>
        <w:rPr>
          <w:rFonts w:hint="eastAsia"/>
          <w:highlight w:val="none"/>
        </w:rPr>
        <w:t>项目编号：</w:t>
      </w:r>
    </w:p>
    <w:p>
      <w:pPr>
        <w:tabs>
          <w:tab w:val="clear" w:pos="426"/>
        </w:tabs>
        <w:rPr>
          <w:rFonts w:hint="eastAsia"/>
          <w:highlight w:val="none"/>
        </w:rPr>
      </w:pPr>
      <w:r>
        <w:rPr>
          <w:rFonts w:hint="eastAsia"/>
          <w:highlight w:val="none"/>
        </w:rPr>
        <w:t>项目名称：</w:t>
      </w:r>
    </w:p>
    <w:p>
      <w:pPr>
        <w:tabs>
          <w:tab w:val="clear" w:pos="426"/>
        </w:tabs>
        <w:rPr>
          <w:rFonts w:hint="eastAsia"/>
          <w:highlight w:val="none"/>
        </w:rPr>
      </w:pPr>
      <w:r>
        <w:rPr>
          <w:rFonts w:hint="eastAsia"/>
          <w:highlight w:val="none"/>
        </w:rPr>
        <w:t>投标供应商名称（盖章）：</w:t>
      </w:r>
    </w:p>
    <w:p>
      <w:pPr>
        <w:tabs>
          <w:tab w:val="clear" w:pos="426"/>
        </w:tabs>
        <w:rPr>
          <w:rFonts w:hint="eastAsia"/>
          <w:highlight w:val="none"/>
        </w:rPr>
      </w:pPr>
      <w:r>
        <w:rPr>
          <w:rFonts w:hint="eastAsia"/>
          <w:highlight w:val="none"/>
        </w:rPr>
        <w:t>投标截止时间：</w:t>
      </w:r>
      <w:r>
        <w:rPr>
          <w:highlight w:val="none"/>
          <w:u w:val="single"/>
        </w:rPr>
        <w:t>_______年______月______日______时______分（前不得开封）</w:t>
      </w:r>
      <w:r>
        <w:rPr>
          <w:rFonts w:hint="eastAsia"/>
          <w:highlight w:val="none"/>
        </w:rPr>
        <w:t>。</w:t>
      </w:r>
    </w:p>
    <w:p>
      <w:pPr>
        <w:tabs>
          <w:tab w:val="clear" w:pos="426"/>
        </w:tabs>
        <w:rPr>
          <w:rFonts w:hint="eastAsia"/>
          <w:highlight w:val="none"/>
        </w:rPr>
      </w:pPr>
      <w:r>
        <w:rPr>
          <w:highlight w:val="none"/>
        </w:rPr>
        <w:t xml:space="preserve">24.3  </w:t>
      </w:r>
      <w:r>
        <w:rPr>
          <w:rFonts w:hint="eastAsia"/>
          <w:highlight w:val="none"/>
        </w:rPr>
        <w:t>所有投标文件的密封袋的封口处均应加盖投标供应商公章。</w:t>
      </w:r>
    </w:p>
    <w:p>
      <w:pPr>
        <w:tabs>
          <w:tab w:val="clear" w:pos="426"/>
        </w:tabs>
        <w:rPr>
          <w:rFonts w:hint="eastAsia"/>
          <w:highlight w:val="none"/>
        </w:rPr>
      </w:pPr>
      <w:r>
        <w:rPr>
          <w:highlight w:val="none"/>
        </w:rPr>
        <w:t xml:space="preserve">24.4  </w:t>
      </w:r>
      <w:r>
        <w:rPr>
          <w:rFonts w:hint="eastAsia"/>
          <w:highlight w:val="none"/>
        </w:rPr>
        <w:t>对于因标书标识不清、装订不牢、密封不严等导致的不利后果由该投标供应商自负。</w:t>
      </w:r>
    </w:p>
    <w:p>
      <w:pPr>
        <w:tabs>
          <w:tab w:val="clear" w:pos="426"/>
        </w:tabs>
        <w:rPr>
          <w:rFonts w:hint="eastAsia"/>
          <w:szCs w:val="21"/>
          <w:highlight w:val="none"/>
        </w:rPr>
      </w:pPr>
      <w:r>
        <w:rPr>
          <w:szCs w:val="21"/>
          <w:highlight w:val="none"/>
        </w:rPr>
        <w:t xml:space="preserve">24.5  </w:t>
      </w:r>
      <w:r>
        <w:rPr>
          <w:rFonts w:hint="eastAsia"/>
          <w:szCs w:val="21"/>
          <w:highlight w:val="none"/>
        </w:rPr>
        <w:t>投标方应将投标文件按</w:t>
      </w:r>
      <w:r>
        <w:rPr>
          <w:szCs w:val="21"/>
          <w:highlight w:val="none"/>
        </w:rPr>
        <w:t>24.1-24.2中的规定进行密封和标记后，按专用条款中采购公告注明的地址送至招标机构。</w:t>
      </w:r>
    </w:p>
    <w:p>
      <w:pPr>
        <w:tabs>
          <w:tab w:val="clear" w:pos="426"/>
        </w:tabs>
        <w:rPr>
          <w:rFonts w:hint="eastAsia"/>
          <w:szCs w:val="21"/>
          <w:highlight w:val="none"/>
        </w:rPr>
      </w:pPr>
      <w:r>
        <w:rPr>
          <w:szCs w:val="21"/>
          <w:highlight w:val="none"/>
        </w:rPr>
        <w:t xml:space="preserve">24.6  </w:t>
      </w:r>
      <w:r>
        <w:rPr>
          <w:rFonts w:hint="eastAsia"/>
          <w:szCs w:val="21"/>
          <w:highlight w:val="none"/>
        </w:rPr>
        <w:t>邮寄、电报、电话、传真形式的投标概不接受。</w:t>
      </w:r>
    </w:p>
    <w:p>
      <w:pPr>
        <w:tabs>
          <w:tab w:val="clear" w:pos="426"/>
        </w:tabs>
        <w:rPr>
          <w:rFonts w:hint="eastAsia"/>
          <w:b/>
          <w:szCs w:val="21"/>
          <w:highlight w:val="none"/>
        </w:rPr>
      </w:pPr>
      <w:r>
        <w:rPr>
          <w:b/>
          <w:szCs w:val="21"/>
          <w:highlight w:val="none"/>
        </w:rPr>
        <w:t xml:space="preserve">24.7  </w:t>
      </w:r>
      <w:r>
        <w:rPr>
          <w:rFonts w:hint="eastAsia"/>
          <w:b/>
          <w:bCs/>
          <w:szCs w:val="21"/>
          <w:highlight w:val="none"/>
        </w:rPr>
        <w:t>投标文件电子版：电子光盘一张或U盘一个（WORD及投标文件正本盖章后的彩色复印件，复印件要求为</w:t>
      </w:r>
      <w:r>
        <w:rPr>
          <w:b/>
          <w:bCs/>
          <w:szCs w:val="21"/>
          <w:highlight w:val="none"/>
        </w:rPr>
        <w:t>PDF格式），请将该光盘放在开标信封中，并在光盘上标明项目编号、项目名称及投标供应商名称。</w:t>
      </w:r>
    </w:p>
    <w:p>
      <w:pPr>
        <w:tabs>
          <w:tab w:val="clear" w:pos="426"/>
        </w:tabs>
        <w:rPr>
          <w:rFonts w:hint="eastAsia"/>
          <w:szCs w:val="21"/>
          <w:highlight w:val="none"/>
        </w:rPr>
      </w:pPr>
      <w:r>
        <w:rPr>
          <w:szCs w:val="21"/>
          <w:highlight w:val="none"/>
        </w:rPr>
        <w:t xml:space="preserve">25． </w:t>
      </w:r>
      <w:r>
        <w:rPr>
          <w:rFonts w:hint="eastAsia"/>
          <w:szCs w:val="21"/>
          <w:highlight w:val="none"/>
        </w:rPr>
        <w:t>投标截止时间</w:t>
      </w:r>
    </w:p>
    <w:p>
      <w:pPr>
        <w:tabs>
          <w:tab w:val="clear" w:pos="426"/>
        </w:tabs>
        <w:rPr>
          <w:rFonts w:hint="eastAsia"/>
          <w:szCs w:val="21"/>
          <w:highlight w:val="none"/>
        </w:rPr>
      </w:pPr>
      <w:r>
        <w:rPr>
          <w:rFonts w:hint="eastAsia"/>
          <w:szCs w:val="21"/>
          <w:highlight w:val="none"/>
        </w:rPr>
        <w:t>招标机构在投标供应商须知第</w:t>
      </w:r>
      <w:r>
        <w:rPr>
          <w:szCs w:val="21"/>
          <w:highlight w:val="none"/>
        </w:rPr>
        <w:t>24.5条规定的地址收到投标书的时间不得迟于“投标供应商须知前附表”第19</w:t>
      </w:r>
      <w:r>
        <w:rPr>
          <w:rFonts w:hint="eastAsia"/>
          <w:szCs w:val="21"/>
          <w:highlight w:val="none"/>
        </w:rPr>
        <w:t>项所规定的时间。</w:t>
      </w:r>
    </w:p>
    <w:p>
      <w:pPr>
        <w:tabs>
          <w:tab w:val="clear" w:pos="426"/>
        </w:tabs>
        <w:rPr>
          <w:rFonts w:hint="eastAsia"/>
          <w:szCs w:val="21"/>
          <w:highlight w:val="none"/>
        </w:rPr>
      </w:pPr>
      <w:r>
        <w:rPr>
          <w:szCs w:val="21"/>
          <w:highlight w:val="none"/>
        </w:rPr>
        <w:t>26．迟交的投标书</w:t>
      </w:r>
    </w:p>
    <w:p>
      <w:pPr>
        <w:tabs>
          <w:tab w:val="clear" w:pos="426"/>
        </w:tabs>
        <w:rPr>
          <w:rFonts w:hint="eastAsia"/>
          <w:szCs w:val="21"/>
          <w:highlight w:val="none"/>
        </w:rPr>
      </w:pPr>
      <w:r>
        <w:rPr>
          <w:szCs w:val="21"/>
          <w:highlight w:val="none"/>
        </w:rPr>
        <w:t xml:space="preserve">    按照本通用条款第25条规定，招标机构将拒绝并原封退回在其规定的投标截止期后收到的任何投标书。</w:t>
      </w:r>
    </w:p>
    <w:p>
      <w:pPr>
        <w:tabs>
          <w:tab w:val="clear" w:pos="426"/>
        </w:tabs>
        <w:rPr>
          <w:rFonts w:hint="eastAsia"/>
          <w:highlight w:val="none"/>
        </w:rPr>
      </w:pPr>
      <w:r>
        <w:rPr>
          <w:highlight w:val="none"/>
        </w:rPr>
        <w:t xml:space="preserve">27． </w:t>
      </w:r>
      <w:r>
        <w:rPr>
          <w:rFonts w:hint="eastAsia"/>
          <w:highlight w:val="none"/>
        </w:rPr>
        <w:t>投标文件的提交和截标时投标文件的数量要求</w:t>
      </w:r>
    </w:p>
    <w:p>
      <w:pPr>
        <w:tabs>
          <w:tab w:val="clear" w:pos="426"/>
        </w:tabs>
        <w:rPr>
          <w:rFonts w:hint="eastAsia"/>
          <w:highlight w:val="none"/>
        </w:rPr>
      </w:pPr>
      <w:r>
        <w:rPr>
          <w:highlight w:val="none"/>
        </w:rPr>
        <w:t xml:space="preserve">27.1  </w:t>
      </w:r>
      <w:r>
        <w:rPr>
          <w:rFonts w:hint="eastAsia"/>
          <w:highlight w:val="none"/>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rPr>
          <w:rFonts w:hint="eastAsia"/>
          <w:highlight w:val="none"/>
        </w:rPr>
      </w:pPr>
      <w:r>
        <w:rPr>
          <w:highlight w:val="none"/>
        </w:rPr>
        <w:t>27.2  截标时</w:t>
      </w:r>
      <w:r>
        <w:rPr>
          <w:rFonts w:hint="eastAsia"/>
          <w:highlight w:val="none"/>
        </w:rPr>
        <w:t>递</w:t>
      </w:r>
      <w:r>
        <w:rPr>
          <w:highlight w:val="none"/>
        </w:rPr>
        <w:t>交标书的投标供应商数</w:t>
      </w:r>
      <w:r>
        <w:rPr>
          <w:rFonts w:hint="eastAsia"/>
          <w:highlight w:val="none"/>
        </w:rPr>
        <w:t>量未达到法定家数的，采购代理机构将按法律法规的规定暂停</w:t>
      </w:r>
      <w:r>
        <w:rPr>
          <w:highlight w:val="none"/>
        </w:rPr>
        <w:t>开标和评标程序</w:t>
      </w:r>
      <w:r>
        <w:rPr>
          <w:rFonts w:hint="eastAsia"/>
          <w:highlight w:val="none"/>
        </w:rPr>
        <w:t>。如导致招标失败，采购人或采购代理机构将不负担因此给</w:t>
      </w:r>
      <w:r>
        <w:rPr>
          <w:highlight w:val="none"/>
        </w:rPr>
        <w:t>投标供应商</w:t>
      </w:r>
      <w:r>
        <w:rPr>
          <w:rFonts w:hint="eastAsia"/>
          <w:highlight w:val="none"/>
        </w:rPr>
        <w:t>造成的损失。</w:t>
      </w:r>
    </w:p>
    <w:p>
      <w:pPr>
        <w:tabs>
          <w:tab w:val="clear" w:pos="426"/>
        </w:tabs>
        <w:rPr>
          <w:rFonts w:hint="eastAsia"/>
          <w:highlight w:val="none"/>
        </w:rPr>
      </w:pPr>
      <w:r>
        <w:rPr>
          <w:highlight w:val="none"/>
        </w:rPr>
        <w:t xml:space="preserve">28．  </w:t>
      </w:r>
      <w:r>
        <w:rPr>
          <w:rFonts w:hint="eastAsia"/>
          <w:highlight w:val="none"/>
        </w:rPr>
        <w:t>投标文件的修改或撤回</w:t>
      </w:r>
    </w:p>
    <w:p>
      <w:pPr>
        <w:tabs>
          <w:tab w:val="clear" w:pos="426"/>
        </w:tabs>
        <w:rPr>
          <w:rFonts w:hint="eastAsia"/>
          <w:highlight w:val="none"/>
        </w:rPr>
      </w:pPr>
      <w:r>
        <w:rPr>
          <w:highlight w:val="none"/>
        </w:rPr>
        <w:t xml:space="preserve">28.1  </w:t>
      </w:r>
      <w:r>
        <w:rPr>
          <w:rFonts w:hint="eastAsia"/>
          <w:highlight w:val="none"/>
        </w:rPr>
        <w:t>投标供应商已提交投标文件，规定的投标</w:t>
      </w:r>
      <w:r>
        <w:rPr>
          <w:highlight w:val="none"/>
        </w:rPr>
        <w:t>截止</w:t>
      </w:r>
      <w:r>
        <w:rPr>
          <w:rFonts w:hint="eastAsia"/>
          <w:highlight w:val="none"/>
        </w:rPr>
        <w:t>时间还未到，投标供应商可提出对其投标文件的修改或撤回。投标供应商须提交由投标供应商代表签名的修改或撤回的书面通知。</w:t>
      </w:r>
    </w:p>
    <w:p>
      <w:pPr>
        <w:tabs>
          <w:tab w:val="clear" w:pos="426"/>
        </w:tabs>
        <w:rPr>
          <w:rFonts w:hint="eastAsia"/>
          <w:highlight w:val="none"/>
        </w:rPr>
      </w:pPr>
      <w:r>
        <w:rPr>
          <w:highlight w:val="none"/>
        </w:rPr>
        <w:t xml:space="preserve">28.2  </w:t>
      </w:r>
      <w:r>
        <w:rPr>
          <w:rFonts w:hint="eastAsia"/>
          <w:highlight w:val="none"/>
        </w:rPr>
        <w:t>采购代理机构收到由投标供应商代表签名的修改或撤回的书面通知并确认后，投标供应商可对其投标文件进行修改，或是撤回其投标。</w:t>
      </w:r>
    </w:p>
    <w:p>
      <w:pPr>
        <w:tabs>
          <w:tab w:val="clear" w:pos="426"/>
        </w:tabs>
        <w:rPr>
          <w:rFonts w:hint="eastAsia"/>
          <w:highlight w:val="none"/>
        </w:rPr>
      </w:pPr>
      <w:r>
        <w:rPr>
          <w:highlight w:val="none"/>
        </w:rPr>
        <w:t xml:space="preserve">28.3  </w:t>
      </w:r>
      <w:r>
        <w:rPr>
          <w:rFonts w:hint="eastAsia"/>
          <w:highlight w:val="none"/>
        </w:rPr>
        <w:t>投标供应商的修改文件应按照本招标文件的规定进行编制、密封、标记和提交，并在密封袋上注明“投标修改”。</w:t>
      </w:r>
    </w:p>
    <w:p>
      <w:pPr>
        <w:tabs>
          <w:tab w:val="clear" w:pos="426"/>
        </w:tabs>
        <w:rPr>
          <w:rFonts w:hint="eastAsia"/>
          <w:highlight w:val="none"/>
        </w:rPr>
      </w:pPr>
      <w:r>
        <w:rPr>
          <w:highlight w:val="none"/>
        </w:rPr>
        <w:t xml:space="preserve">28.4  </w:t>
      </w:r>
      <w:r>
        <w:rPr>
          <w:rFonts w:hint="eastAsia"/>
          <w:highlight w:val="none"/>
        </w:rPr>
        <w:t>投标截止时间之后至投标文件有效期终止之前，投标供应商不得要求撤回其投标。在此期间撤回投标的，其投标担保将会被没收。</w:t>
      </w:r>
    </w:p>
    <w:p>
      <w:pPr>
        <w:tabs>
          <w:tab w:val="clear" w:pos="426"/>
        </w:tabs>
        <w:rPr>
          <w:rFonts w:hint="eastAsia"/>
          <w:highlight w:val="none"/>
        </w:rPr>
      </w:pPr>
      <w:r>
        <w:rPr>
          <w:highlight w:val="none"/>
        </w:rPr>
        <w:t xml:space="preserve">28.5  </w:t>
      </w:r>
      <w:r>
        <w:rPr>
          <w:rFonts w:hint="eastAsia"/>
          <w:highlight w:val="none"/>
        </w:rPr>
        <w:t>评标结束后，不论中标与否，投标供应商均不得收回投标文件。</w:t>
      </w:r>
    </w:p>
    <w:p>
      <w:pPr>
        <w:pStyle w:val="5"/>
        <w:tabs>
          <w:tab w:val="clear" w:pos="426"/>
        </w:tabs>
        <w:rPr>
          <w:rFonts w:hint="eastAsia"/>
          <w:highlight w:val="none"/>
        </w:rPr>
      </w:pPr>
      <w:bookmarkStart w:id="153" w:name="_Toc18415"/>
      <w:bookmarkStart w:id="154" w:name="_Toc14427257"/>
      <w:bookmarkStart w:id="155" w:name="_Toc529280584"/>
      <w:bookmarkStart w:id="156" w:name="_Toc530152525"/>
      <w:r>
        <w:rPr>
          <w:rFonts w:hint="eastAsia"/>
          <w:highlight w:val="none"/>
        </w:rPr>
        <w:t>第四章 开标</w:t>
      </w:r>
      <w:bookmarkEnd w:id="153"/>
      <w:bookmarkEnd w:id="154"/>
      <w:bookmarkEnd w:id="155"/>
      <w:bookmarkEnd w:id="156"/>
    </w:p>
    <w:p>
      <w:pPr>
        <w:tabs>
          <w:tab w:val="clear" w:pos="426"/>
        </w:tabs>
        <w:rPr>
          <w:rFonts w:hint="eastAsia"/>
          <w:highlight w:val="none"/>
        </w:rPr>
      </w:pPr>
      <w:r>
        <w:rPr>
          <w:highlight w:val="none"/>
        </w:rPr>
        <w:t>29．　开标</w:t>
      </w:r>
    </w:p>
    <w:p>
      <w:pPr>
        <w:tabs>
          <w:tab w:val="clear" w:pos="426"/>
        </w:tabs>
        <w:rPr>
          <w:rFonts w:hint="eastAsia"/>
          <w:highlight w:val="none"/>
        </w:rPr>
      </w:pPr>
      <w:r>
        <w:rPr>
          <w:highlight w:val="none"/>
        </w:rPr>
        <w:t xml:space="preserve">29.1  </w:t>
      </w:r>
      <w:r>
        <w:rPr>
          <w:rFonts w:hint="eastAsia"/>
          <w:highlight w:val="none"/>
        </w:rPr>
        <w:t>采购人在“投标须知前附表”中规定的时间、地点组织公开开标。邀请所有投标供应商代表参加。不参加开标会的投标供应商，视为其认可开标程序和结果。</w:t>
      </w:r>
    </w:p>
    <w:p>
      <w:pPr>
        <w:tabs>
          <w:tab w:val="clear" w:pos="426"/>
        </w:tabs>
        <w:rPr>
          <w:rFonts w:hint="eastAsia"/>
          <w:highlight w:val="none"/>
        </w:rPr>
      </w:pPr>
      <w:r>
        <w:rPr>
          <w:highlight w:val="none"/>
        </w:rPr>
        <w:t xml:space="preserve">29.2  </w:t>
      </w:r>
      <w:r>
        <w:rPr>
          <w:rFonts w:hint="eastAsia"/>
          <w:highlight w:val="none"/>
        </w:rPr>
        <w:t>参加开标会议的投标供应商只委派一名代表，且必须是本单位法定代表人或授权代表，参加会议人员须提供相应的授权委托书。</w:t>
      </w:r>
    </w:p>
    <w:p>
      <w:pPr>
        <w:tabs>
          <w:tab w:val="clear" w:pos="426"/>
        </w:tabs>
        <w:rPr>
          <w:rFonts w:hint="eastAsia"/>
          <w:highlight w:val="none"/>
        </w:rPr>
      </w:pPr>
      <w:r>
        <w:rPr>
          <w:highlight w:val="none"/>
        </w:rPr>
        <w:t xml:space="preserve">29.3  </w:t>
      </w:r>
      <w:r>
        <w:rPr>
          <w:rFonts w:hint="eastAsia"/>
          <w:highlight w:val="none"/>
        </w:rPr>
        <w:t>开标会由采购代理机构主持，开标程序如下：</w:t>
      </w:r>
    </w:p>
    <w:p>
      <w:pPr>
        <w:tabs>
          <w:tab w:val="clear" w:pos="426"/>
        </w:tabs>
        <w:rPr>
          <w:rFonts w:hint="eastAsia"/>
          <w:highlight w:val="none"/>
        </w:rPr>
      </w:pPr>
      <w:r>
        <w:rPr>
          <w:highlight w:val="none"/>
        </w:rPr>
        <w:t xml:space="preserve">29.3.1  采购代理机构核对法人代表或其授权代表身份证明，若不能提供相应的身份证明或不相符，则不能参与开标会议； </w:t>
      </w:r>
    </w:p>
    <w:p>
      <w:pPr>
        <w:tabs>
          <w:tab w:val="clear" w:pos="426"/>
        </w:tabs>
        <w:rPr>
          <w:rFonts w:hint="eastAsia"/>
          <w:szCs w:val="21"/>
          <w:highlight w:val="none"/>
        </w:rPr>
      </w:pPr>
      <w:r>
        <w:rPr>
          <w:szCs w:val="21"/>
          <w:highlight w:val="none"/>
        </w:rPr>
        <w:t xml:space="preserve">29.3.2  </w:t>
      </w:r>
      <w:r>
        <w:rPr>
          <w:rFonts w:hint="eastAsia"/>
          <w:szCs w:val="21"/>
          <w:highlight w:val="none"/>
        </w:rPr>
        <w:t>招标机构将按“采购公告”规定的时间和地点组织公开开标。投标供应商应委派代表参加，参加开标的代表应签名报到以证明出席。</w:t>
      </w:r>
    </w:p>
    <w:p>
      <w:pPr>
        <w:tabs>
          <w:tab w:val="clear" w:pos="426"/>
        </w:tabs>
        <w:rPr>
          <w:rFonts w:hint="eastAsia"/>
          <w:szCs w:val="21"/>
          <w:highlight w:val="none"/>
        </w:rPr>
      </w:pPr>
      <w:r>
        <w:rPr>
          <w:szCs w:val="21"/>
          <w:highlight w:val="none"/>
        </w:rPr>
        <w:t xml:space="preserve">29.3.3  </w:t>
      </w:r>
      <w:r>
        <w:rPr>
          <w:rFonts w:hint="eastAsia"/>
          <w:szCs w:val="21"/>
          <w:highlight w:val="none"/>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rFonts w:hint="eastAsia"/>
          <w:szCs w:val="21"/>
          <w:highlight w:val="none"/>
        </w:rPr>
      </w:pPr>
      <w:r>
        <w:rPr>
          <w:rFonts w:hint="eastAsia"/>
          <w:szCs w:val="21"/>
          <w:highlight w:val="none"/>
        </w:rPr>
        <w:t>除了按照本通用条款第</w:t>
      </w:r>
      <w:r>
        <w:rPr>
          <w:szCs w:val="21"/>
          <w:highlight w:val="none"/>
        </w:rPr>
        <w:t>26条规定原封退回的投标之外，开标时将不得拒绝任何投标书。</w:t>
      </w:r>
    </w:p>
    <w:p>
      <w:pPr>
        <w:tabs>
          <w:tab w:val="clear" w:pos="426"/>
        </w:tabs>
        <w:rPr>
          <w:rFonts w:hint="eastAsia"/>
          <w:szCs w:val="21"/>
          <w:highlight w:val="none"/>
        </w:rPr>
      </w:pPr>
      <w:r>
        <w:rPr>
          <w:szCs w:val="21"/>
          <w:highlight w:val="none"/>
        </w:rPr>
        <w:t xml:space="preserve">29.3.4  </w:t>
      </w:r>
      <w:r>
        <w:rPr>
          <w:rFonts w:hint="eastAsia"/>
          <w:szCs w:val="21"/>
          <w:highlight w:val="none"/>
        </w:rPr>
        <w:t>开标时，招标机构仅拆封开标信封。如投标供应商未单独密封包装开标信封，招标机构有权拆封投标文件。</w:t>
      </w:r>
    </w:p>
    <w:p>
      <w:pPr>
        <w:tabs>
          <w:tab w:val="clear" w:pos="426"/>
        </w:tabs>
        <w:rPr>
          <w:rFonts w:hint="eastAsia"/>
          <w:szCs w:val="21"/>
          <w:highlight w:val="none"/>
        </w:rPr>
      </w:pPr>
      <w:r>
        <w:rPr>
          <w:szCs w:val="21"/>
          <w:highlight w:val="none"/>
        </w:rPr>
        <w:t xml:space="preserve">29.3.5  </w:t>
      </w:r>
      <w:r>
        <w:rPr>
          <w:rFonts w:hint="eastAsia"/>
          <w:szCs w:val="21"/>
          <w:highlight w:val="none"/>
        </w:rPr>
        <w:t>按照投标供应商须知第</w:t>
      </w:r>
      <w:r>
        <w:rPr>
          <w:szCs w:val="21"/>
          <w:highlight w:val="none"/>
        </w:rPr>
        <w:t>28条规定，提交了可接受的“撤回”通知的投标将不予开封。</w:t>
      </w:r>
    </w:p>
    <w:p>
      <w:pPr>
        <w:tabs>
          <w:tab w:val="clear" w:pos="426"/>
        </w:tabs>
        <w:rPr>
          <w:rFonts w:hint="eastAsia"/>
          <w:szCs w:val="21"/>
          <w:highlight w:val="none"/>
        </w:rPr>
      </w:pPr>
      <w:r>
        <w:rPr>
          <w:szCs w:val="21"/>
          <w:highlight w:val="none"/>
        </w:rPr>
        <w:t xml:space="preserve">29.3.6  </w:t>
      </w:r>
      <w:r>
        <w:rPr>
          <w:rFonts w:hint="eastAsia"/>
          <w:szCs w:val="21"/>
          <w:highlight w:val="none"/>
        </w:rPr>
        <w:t>无论如何在开标时没有启封和读出的投标书在评标时将不予考虑。撤回的投标书将原封退回投标供应商。</w:t>
      </w:r>
    </w:p>
    <w:p>
      <w:pPr>
        <w:tabs>
          <w:tab w:val="clear" w:pos="426"/>
        </w:tabs>
        <w:rPr>
          <w:rFonts w:hint="eastAsia"/>
          <w:szCs w:val="21"/>
          <w:highlight w:val="none"/>
        </w:rPr>
      </w:pPr>
      <w:r>
        <w:rPr>
          <w:szCs w:val="21"/>
          <w:highlight w:val="none"/>
        </w:rPr>
        <w:t xml:space="preserve">29.3.7  </w:t>
      </w:r>
      <w:r>
        <w:rPr>
          <w:rFonts w:hint="eastAsia"/>
          <w:szCs w:val="21"/>
          <w:highlight w:val="none"/>
        </w:rPr>
        <w:t>招标机构将做开标记录，开标记录包括按本通用条款第</w:t>
      </w:r>
      <w:r>
        <w:rPr>
          <w:szCs w:val="21"/>
          <w:highlight w:val="none"/>
        </w:rPr>
        <w:t>29.3.3的规定在开标时宣读的全部内容。</w:t>
      </w:r>
    </w:p>
    <w:p>
      <w:pPr>
        <w:tabs>
          <w:tab w:val="clear" w:pos="426"/>
        </w:tabs>
        <w:rPr>
          <w:rFonts w:hint="eastAsia"/>
          <w:highlight w:val="none"/>
        </w:rPr>
      </w:pPr>
      <w:r>
        <w:rPr>
          <w:highlight w:val="none"/>
        </w:rPr>
        <w:t xml:space="preserve">29.3.8  </w:t>
      </w:r>
      <w:r>
        <w:rPr>
          <w:rFonts w:hint="eastAsia"/>
          <w:highlight w:val="none"/>
        </w:rPr>
        <w:t>供应商在开标过程中知道或者应知其权益受到损害时必须现场明确提出，未明确提出的，即视为认可开标结果。</w:t>
      </w:r>
    </w:p>
    <w:p>
      <w:pPr>
        <w:pStyle w:val="5"/>
        <w:tabs>
          <w:tab w:val="clear" w:pos="426"/>
        </w:tabs>
        <w:rPr>
          <w:rFonts w:hint="eastAsia"/>
          <w:highlight w:val="none"/>
        </w:rPr>
      </w:pPr>
      <w:bookmarkStart w:id="157" w:name="_Toc31833"/>
      <w:bookmarkStart w:id="158" w:name="_Toc529280585"/>
      <w:bookmarkStart w:id="159" w:name="_Toc14427258"/>
      <w:bookmarkStart w:id="160" w:name="_Toc530152526"/>
      <w:r>
        <w:rPr>
          <w:rFonts w:hint="eastAsia"/>
          <w:highlight w:val="none"/>
        </w:rPr>
        <w:t>第五章 评标要求</w:t>
      </w:r>
      <w:bookmarkEnd w:id="157"/>
      <w:bookmarkEnd w:id="158"/>
      <w:bookmarkEnd w:id="159"/>
      <w:bookmarkEnd w:id="160"/>
    </w:p>
    <w:p>
      <w:pPr>
        <w:tabs>
          <w:tab w:val="clear" w:pos="426"/>
        </w:tabs>
        <w:rPr>
          <w:rFonts w:hint="eastAsia"/>
          <w:highlight w:val="none"/>
        </w:rPr>
      </w:pPr>
      <w:r>
        <w:rPr>
          <w:highlight w:val="none"/>
        </w:rPr>
        <w:t>30．评标委员会组成</w:t>
      </w:r>
    </w:p>
    <w:p>
      <w:pPr>
        <w:tabs>
          <w:tab w:val="clear" w:pos="426"/>
        </w:tabs>
        <w:rPr>
          <w:rFonts w:hint="eastAsia"/>
          <w:highlight w:val="none"/>
        </w:rPr>
      </w:pPr>
      <w:r>
        <w:rPr>
          <w:highlight w:val="none"/>
        </w:rPr>
        <w:t>30.1开标结束后召开评标会议，评标委员会由采购代理机构依法组建，负责评标活动。</w:t>
      </w:r>
    </w:p>
    <w:p>
      <w:pPr>
        <w:tabs>
          <w:tab w:val="clear" w:pos="426"/>
        </w:tabs>
        <w:rPr>
          <w:rFonts w:hint="eastAsia"/>
          <w:highlight w:val="none"/>
        </w:rPr>
      </w:pPr>
      <w:r>
        <w:rPr>
          <w:rFonts w:hint="eastAsia"/>
          <w:highlight w:val="none"/>
        </w:rPr>
        <w:t>评标委员会的组成及行为规范执行《中华人民共和国政府采购法》《中华人民共和国政府采购法实施条例》，评标委员会由采购单位代表和有关技术、经济等方面的专家组成，成员人数为</w:t>
      </w:r>
      <w:r>
        <w:rPr>
          <w:highlight w:val="none"/>
        </w:rPr>
        <w:t>5</w:t>
      </w:r>
      <w:r>
        <w:rPr>
          <w:rFonts w:hint="eastAsia"/>
          <w:highlight w:val="none"/>
        </w:rPr>
        <w:t>人以上（含</w:t>
      </w:r>
      <w:r>
        <w:rPr>
          <w:highlight w:val="none"/>
        </w:rPr>
        <w:t>5</w:t>
      </w:r>
      <w:r>
        <w:rPr>
          <w:rFonts w:hint="eastAsia"/>
          <w:highlight w:val="none"/>
        </w:rPr>
        <w:t>人）单数，其中技术、经济等方面的专家不少于成员总数的三分之二。</w:t>
      </w:r>
    </w:p>
    <w:p>
      <w:pPr>
        <w:tabs>
          <w:tab w:val="clear" w:pos="426"/>
        </w:tabs>
        <w:rPr>
          <w:rFonts w:hint="eastAsia"/>
          <w:highlight w:val="none"/>
        </w:rPr>
      </w:pPr>
      <w:r>
        <w:rPr>
          <w:rFonts w:hint="eastAsia"/>
          <w:highlight w:val="none"/>
        </w:rPr>
        <w:t>为保证评委人选的专业性，以及评标中的公平公正性，评标委员会成员从深圳市财政委员会评标专家库中随机抽取。</w:t>
      </w:r>
    </w:p>
    <w:p>
      <w:pPr>
        <w:tabs>
          <w:tab w:val="clear" w:pos="426"/>
        </w:tabs>
        <w:rPr>
          <w:rFonts w:hint="eastAsia"/>
          <w:highlight w:val="none"/>
        </w:rPr>
      </w:pPr>
      <w:r>
        <w:rPr>
          <w:rFonts w:hint="eastAsia"/>
          <w:highlight w:val="none"/>
        </w:rPr>
        <w:t>采购单位代表须持本单位签发的《评标授权书》参加评标。</w:t>
      </w:r>
    </w:p>
    <w:p>
      <w:pPr>
        <w:tabs>
          <w:tab w:val="clear" w:pos="426"/>
        </w:tabs>
        <w:rPr>
          <w:rFonts w:hint="eastAsia"/>
          <w:highlight w:val="none"/>
        </w:rPr>
      </w:pPr>
      <w:r>
        <w:rPr>
          <w:rFonts w:hint="eastAsia"/>
          <w:highlight w:val="none"/>
        </w:rPr>
        <w:t>采购单位无代表参与评标，应在开标前一天提交《采购单位不派评委参与项目评标承诺书》给采购代理机构。</w:t>
      </w:r>
    </w:p>
    <w:p>
      <w:pPr>
        <w:tabs>
          <w:tab w:val="clear" w:pos="426"/>
        </w:tabs>
        <w:rPr>
          <w:rFonts w:hint="eastAsia"/>
          <w:sz w:val="24"/>
          <w:highlight w:val="none"/>
        </w:rPr>
      </w:pPr>
      <w:r>
        <w:rPr>
          <w:rFonts w:hint="eastAsia"/>
          <w:highlight w:val="none"/>
        </w:rPr>
        <w:t>注：《评标授权书》《采购单位不派评委参与项目评标承诺书》模板由采购代理机构提供</w:t>
      </w:r>
      <w:r>
        <w:rPr>
          <w:rFonts w:hint="eastAsia"/>
          <w:sz w:val="24"/>
          <w:highlight w:val="none"/>
        </w:rPr>
        <w:t>。</w:t>
      </w:r>
    </w:p>
    <w:p>
      <w:pPr>
        <w:tabs>
          <w:tab w:val="clear" w:pos="426"/>
        </w:tabs>
        <w:rPr>
          <w:rFonts w:hint="eastAsia"/>
          <w:highlight w:val="none"/>
        </w:rPr>
      </w:pPr>
      <w:r>
        <w:rPr>
          <w:highlight w:val="none"/>
        </w:rPr>
        <w:t>30.2评标定标应当遵循公平、公正、科学、择优的原则。</w:t>
      </w:r>
    </w:p>
    <w:p>
      <w:pPr>
        <w:tabs>
          <w:tab w:val="clear" w:pos="426"/>
        </w:tabs>
        <w:rPr>
          <w:rFonts w:hint="eastAsia"/>
          <w:highlight w:val="none"/>
        </w:rPr>
      </w:pPr>
      <w:r>
        <w:rPr>
          <w:highlight w:val="none"/>
        </w:rPr>
        <w:t>30.3评标活动依法进行，任何单位和个人不得非法干预评标过程和结果。</w:t>
      </w:r>
    </w:p>
    <w:p>
      <w:pPr>
        <w:tabs>
          <w:tab w:val="clear" w:pos="426"/>
        </w:tabs>
        <w:rPr>
          <w:rFonts w:hint="eastAsia"/>
          <w:highlight w:val="none"/>
        </w:rPr>
      </w:pPr>
      <w:r>
        <w:rPr>
          <w:highlight w:val="none"/>
        </w:rPr>
        <w:t>30.4评标过程中不允许违背评标程序或采用招标文件未载明的评标方法或评标因素进行评标。</w:t>
      </w:r>
    </w:p>
    <w:p>
      <w:pPr>
        <w:tabs>
          <w:tab w:val="clear" w:pos="426"/>
        </w:tabs>
        <w:rPr>
          <w:rFonts w:hint="eastAsia"/>
          <w:highlight w:val="none"/>
        </w:rPr>
      </w:pPr>
      <w:r>
        <w:rPr>
          <w:highlight w:val="none"/>
        </w:rPr>
        <w:t xml:space="preserve">30.5 </w:t>
      </w:r>
      <w:r>
        <w:rPr>
          <w:rFonts w:hint="eastAsia"/>
          <w:highlight w:val="none"/>
        </w:rPr>
        <w:t>开标后，直到授予中标供应商合同为止，凡属于对投标文件的审查、澄清、评价和比较的有关资料以及中标候选人的推荐情况、与评标有关的其他任何情况均严格保密。</w:t>
      </w:r>
    </w:p>
    <w:p>
      <w:pPr>
        <w:tabs>
          <w:tab w:val="clear" w:pos="426"/>
        </w:tabs>
        <w:rPr>
          <w:rFonts w:hint="eastAsia"/>
          <w:highlight w:val="none"/>
        </w:rPr>
      </w:pPr>
      <w:r>
        <w:rPr>
          <w:highlight w:val="none"/>
        </w:rPr>
        <w:t>31．向评标委员会提供的资料</w:t>
      </w:r>
    </w:p>
    <w:p>
      <w:pPr>
        <w:tabs>
          <w:tab w:val="clear" w:pos="426"/>
        </w:tabs>
        <w:rPr>
          <w:rFonts w:hint="eastAsia"/>
          <w:highlight w:val="none"/>
        </w:rPr>
      </w:pPr>
      <w:r>
        <w:rPr>
          <w:highlight w:val="none"/>
        </w:rPr>
        <w:t>31.1公开发布的招标文件，包括图纸、服务清单、答疑文件等；</w:t>
      </w:r>
    </w:p>
    <w:p>
      <w:pPr>
        <w:tabs>
          <w:tab w:val="clear" w:pos="426"/>
        </w:tabs>
        <w:rPr>
          <w:rFonts w:hint="eastAsia"/>
          <w:highlight w:val="none"/>
        </w:rPr>
      </w:pPr>
      <w:r>
        <w:rPr>
          <w:highlight w:val="none"/>
        </w:rPr>
        <w:t>31.2其他评标必须的资料。</w:t>
      </w:r>
    </w:p>
    <w:p>
      <w:pPr>
        <w:tabs>
          <w:tab w:val="clear" w:pos="426"/>
        </w:tabs>
        <w:rPr>
          <w:rFonts w:hint="eastAsia"/>
          <w:highlight w:val="none"/>
        </w:rPr>
      </w:pPr>
      <w:r>
        <w:rPr>
          <w:highlight w:val="none"/>
        </w:rPr>
        <w:t>31.3评标委员会应当认真研究招标文件，至少应了解熟悉以下</w:t>
      </w:r>
      <w:r>
        <w:rPr>
          <w:rFonts w:hint="eastAsia"/>
          <w:highlight w:val="none"/>
        </w:rPr>
        <w:t>内容：</w:t>
      </w:r>
    </w:p>
    <w:p>
      <w:pPr>
        <w:tabs>
          <w:tab w:val="clear" w:pos="426"/>
        </w:tabs>
        <w:rPr>
          <w:rFonts w:hint="eastAsia"/>
          <w:highlight w:val="none"/>
        </w:rPr>
      </w:pPr>
      <w:r>
        <w:rPr>
          <w:rFonts w:hint="eastAsia"/>
          <w:highlight w:val="none"/>
        </w:rPr>
        <w:t>（1）招标的目的；</w:t>
      </w:r>
    </w:p>
    <w:p>
      <w:pPr>
        <w:tabs>
          <w:tab w:val="clear" w:pos="426"/>
        </w:tabs>
        <w:rPr>
          <w:rFonts w:hint="eastAsia"/>
          <w:highlight w:val="none"/>
        </w:rPr>
      </w:pPr>
      <w:r>
        <w:rPr>
          <w:rFonts w:hint="eastAsia"/>
          <w:highlight w:val="none"/>
        </w:rPr>
        <w:t>（2）招标项目需求的范围和性质；</w:t>
      </w:r>
    </w:p>
    <w:p>
      <w:pPr>
        <w:tabs>
          <w:tab w:val="clear" w:pos="426"/>
        </w:tabs>
        <w:rPr>
          <w:rFonts w:hint="eastAsia"/>
          <w:highlight w:val="none"/>
        </w:rPr>
      </w:pPr>
      <w:r>
        <w:rPr>
          <w:rFonts w:hint="eastAsia"/>
          <w:highlight w:val="none"/>
        </w:rPr>
        <w:t>（3）招标文件规定的投标供应商的资格、财政预算限额、商务条款；</w:t>
      </w:r>
    </w:p>
    <w:p>
      <w:pPr>
        <w:tabs>
          <w:tab w:val="clear" w:pos="426"/>
        </w:tabs>
        <w:rPr>
          <w:rFonts w:hint="eastAsia"/>
          <w:highlight w:val="none"/>
        </w:rPr>
      </w:pPr>
      <w:r>
        <w:rPr>
          <w:rFonts w:hint="eastAsia"/>
          <w:highlight w:val="none"/>
        </w:rPr>
        <w:t>（4）招标文件规定的评标程序、评标方法和评标因素；</w:t>
      </w:r>
    </w:p>
    <w:p>
      <w:pPr>
        <w:tabs>
          <w:tab w:val="clear" w:pos="426"/>
        </w:tabs>
        <w:rPr>
          <w:rFonts w:hint="eastAsia"/>
          <w:highlight w:val="none"/>
        </w:rPr>
      </w:pPr>
      <w:r>
        <w:rPr>
          <w:rFonts w:hint="eastAsia"/>
          <w:highlight w:val="none"/>
        </w:rPr>
        <w:t>（5）招标文件所列示的投标文件“资格、符合性评审条款”。</w:t>
      </w:r>
    </w:p>
    <w:p>
      <w:pPr>
        <w:tabs>
          <w:tab w:val="clear" w:pos="426"/>
        </w:tabs>
        <w:rPr>
          <w:rFonts w:hint="eastAsia"/>
          <w:highlight w:val="none"/>
        </w:rPr>
      </w:pPr>
      <w:r>
        <w:rPr>
          <w:rFonts w:hint="eastAsia"/>
          <w:highlight w:val="none"/>
        </w:rPr>
        <w:t>32．独立评标</w:t>
      </w:r>
    </w:p>
    <w:p>
      <w:pPr>
        <w:tabs>
          <w:tab w:val="clear" w:pos="426"/>
        </w:tabs>
        <w:rPr>
          <w:rFonts w:hint="eastAsia"/>
          <w:szCs w:val="21"/>
          <w:highlight w:val="none"/>
        </w:rPr>
      </w:pPr>
      <w:r>
        <w:rPr>
          <w:rFonts w:hint="eastAsia"/>
          <w:highlight w:val="none"/>
        </w:rPr>
        <w:t>32.1评标委员会成员的评标活动应当独立进行，并应遵循投标文件初审、澄清有关问题、比较与评价、确定中标候选供应商、编写评标报告的工作程序。</w:t>
      </w:r>
    </w:p>
    <w:p>
      <w:pPr>
        <w:pStyle w:val="5"/>
        <w:tabs>
          <w:tab w:val="clear" w:pos="426"/>
        </w:tabs>
        <w:rPr>
          <w:rFonts w:hint="eastAsia"/>
          <w:highlight w:val="none"/>
        </w:rPr>
      </w:pPr>
      <w:bookmarkStart w:id="161" w:name="_Toc14427259"/>
      <w:bookmarkStart w:id="162" w:name="_Toc530152527"/>
      <w:bookmarkStart w:id="163" w:name="_Toc329"/>
      <w:bookmarkStart w:id="164" w:name="_Toc529280586"/>
      <w:r>
        <w:rPr>
          <w:rFonts w:hint="eastAsia"/>
          <w:highlight w:val="none"/>
        </w:rPr>
        <w:t>第六章 评标程序及评标方法</w:t>
      </w:r>
      <w:bookmarkEnd w:id="161"/>
      <w:bookmarkEnd w:id="162"/>
      <w:bookmarkEnd w:id="163"/>
      <w:bookmarkEnd w:id="164"/>
    </w:p>
    <w:p>
      <w:pPr>
        <w:tabs>
          <w:tab w:val="clear" w:pos="426"/>
        </w:tabs>
        <w:rPr>
          <w:rFonts w:hint="eastAsia"/>
          <w:highlight w:val="none"/>
        </w:rPr>
      </w:pPr>
      <w:r>
        <w:rPr>
          <w:rFonts w:hint="eastAsia"/>
          <w:highlight w:val="none"/>
        </w:rPr>
        <w:t>33．投标文件初审</w:t>
      </w:r>
    </w:p>
    <w:p>
      <w:pPr>
        <w:widowControl w:val="0"/>
        <w:shd w:val="clear" w:color="auto" w:fill="auto"/>
        <w:tabs>
          <w:tab w:val="clear" w:pos="426"/>
        </w:tabs>
        <w:autoSpaceDE w:val="0"/>
        <w:autoSpaceDN w:val="0"/>
        <w:rPr>
          <w:rFonts w:hint="eastAsia" w:cs="黑体"/>
          <w:b/>
          <w:bCs/>
          <w:szCs w:val="21"/>
          <w:highlight w:val="none"/>
        </w:rPr>
      </w:pPr>
      <w:r>
        <w:rPr>
          <w:rFonts w:hint="eastAsia"/>
          <w:highlight w:val="none"/>
        </w:rPr>
        <w:t xml:space="preserve">33.1 </w:t>
      </w:r>
      <w:r>
        <w:rPr>
          <w:rFonts w:hint="eastAsia"/>
          <w:szCs w:val="21"/>
          <w:highlight w:val="none"/>
          <w:lang w:eastAsia="zh-TW"/>
        </w:rPr>
        <w:t>评标委员会将</w:t>
      </w:r>
      <w:r>
        <w:rPr>
          <w:rFonts w:hint="eastAsia"/>
          <w:szCs w:val="21"/>
          <w:highlight w:val="none"/>
        </w:rPr>
        <w:t>依法对投标文件进行初审。</w:t>
      </w:r>
      <w:r>
        <w:rPr>
          <w:rFonts w:hint="eastAsia"/>
          <w:highlight w:val="none"/>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rFonts w:hint="eastAsia"/>
          <w:b/>
          <w:highlight w:val="none"/>
        </w:rPr>
      </w:pPr>
      <w:r>
        <w:rPr>
          <w:rFonts w:hint="eastAsia"/>
          <w:highlight w:val="none"/>
        </w:rPr>
        <w:t>33.2 投标文件初审内容请详见“</w:t>
      </w:r>
      <w:r>
        <w:rPr>
          <w:rFonts w:hint="eastAsia"/>
          <w:b/>
          <w:highlight w:val="none"/>
        </w:rPr>
        <w:t>资格、符合性评审条款</w:t>
      </w:r>
      <w:r>
        <w:rPr>
          <w:rFonts w:hint="eastAsia"/>
          <w:highlight w:val="none"/>
        </w:rPr>
        <w:t>”。投标供应商若有一条审查不通过则按无效标处理。评标委员会对投标单位打√为通过审查，打×为未通过审查。</w:t>
      </w:r>
    </w:p>
    <w:p>
      <w:pPr>
        <w:tabs>
          <w:tab w:val="clear" w:pos="426"/>
        </w:tabs>
        <w:rPr>
          <w:rFonts w:hint="eastAsia"/>
          <w:highlight w:val="none"/>
        </w:rPr>
      </w:pPr>
      <w:r>
        <w:rPr>
          <w:rFonts w:hint="eastAsia"/>
          <w:highlight w:val="none"/>
        </w:rPr>
        <w:t>33.3 投标文件初审中关于供应商家数的计算。</w:t>
      </w:r>
    </w:p>
    <w:p>
      <w:pPr>
        <w:tabs>
          <w:tab w:val="clear" w:pos="426"/>
        </w:tabs>
        <w:rPr>
          <w:rFonts w:hint="eastAsia"/>
          <w:highlight w:val="none"/>
        </w:rPr>
      </w:pPr>
      <w:r>
        <w:rPr>
          <w:rFonts w:hint="eastAsia"/>
          <w:highlight w:val="none"/>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rPr>
          <w:rFonts w:hint="eastAsia"/>
          <w:highlight w:val="none"/>
        </w:rPr>
      </w:pPr>
      <w:r>
        <w:rPr>
          <w:highlight w:val="none"/>
        </w:rPr>
        <w:t>33.3.</w:t>
      </w:r>
      <w:r>
        <w:rPr>
          <w:rFonts w:hint="eastAsia"/>
          <w:highlight w:val="none"/>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rPr>
          <w:rFonts w:hint="eastAsia"/>
          <w:highlight w:val="none"/>
        </w:rPr>
      </w:pPr>
      <w:r>
        <w:rPr>
          <w:highlight w:val="none"/>
        </w:rPr>
        <w:t>33.3.</w:t>
      </w:r>
      <w:r>
        <w:rPr>
          <w:rFonts w:hint="eastAsia"/>
          <w:highlight w:val="none"/>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rPr>
          <w:rFonts w:hint="eastAsia"/>
          <w:highlight w:val="none"/>
        </w:rPr>
      </w:pPr>
      <w:r>
        <w:rPr>
          <w:rFonts w:hint="eastAsia"/>
          <w:highlight w:val="none"/>
        </w:rPr>
        <w:t>33.3.4公开招标以外采购方式以及采购服务和工程涉及采购货物的项目，也按此方法计算供应商家数。</w:t>
      </w:r>
    </w:p>
    <w:p>
      <w:pPr>
        <w:tabs>
          <w:tab w:val="clear" w:pos="426"/>
        </w:tabs>
        <w:rPr>
          <w:rFonts w:hint="eastAsia"/>
          <w:b/>
          <w:bCs/>
          <w:highlight w:val="none"/>
        </w:rPr>
      </w:pPr>
      <w:r>
        <w:rPr>
          <w:rFonts w:hint="eastAsia"/>
          <w:highlight w:val="none"/>
        </w:rPr>
        <w:t>33.4 对不属于投标文件“</w:t>
      </w:r>
      <w:r>
        <w:rPr>
          <w:rFonts w:hint="eastAsia"/>
          <w:b/>
          <w:highlight w:val="none"/>
        </w:rPr>
        <w:t>资格、符合性评审条款</w:t>
      </w:r>
      <w:r>
        <w:rPr>
          <w:rFonts w:hint="eastAsia"/>
          <w:highlight w:val="none"/>
        </w:rPr>
        <w:t>”要所列不符合的情形，除法律法规另有规定外，不得作为废标的理由。</w:t>
      </w:r>
    </w:p>
    <w:p>
      <w:pPr>
        <w:tabs>
          <w:tab w:val="clear" w:pos="426"/>
        </w:tabs>
        <w:rPr>
          <w:rFonts w:hint="eastAsia"/>
          <w:highlight w:val="none"/>
        </w:rPr>
      </w:pPr>
      <w:r>
        <w:rPr>
          <w:rFonts w:hint="eastAsia"/>
          <w:highlight w:val="none"/>
        </w:rPr>
        <w:t>34．澄清有关问题</w:t>
      </w:r>
    </w:p>
    <w:p>
      <w:pPr>
        <w:tabs>
          <w:tab w:val="clear" w:pos="426"/>
        </w:tabs>
        <w:rPr>
          <w:rFonts w:hint="eastAsia"/>
          <w:highlight w:val="none"/>
        </w:rPr>
      </w:pPr>
      <w:r>
        <w:rPr>
          <w:rFonts w:hint="eastAsia"/>
          <w:highlight w:val="none"/>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rPr>
          <w:rFonts w:hint="eastAsia"/>
          <w:highlight w:val="none"/>
        </w:rPr>
      </w:pPr>
      <w:r>
        <w:rPr>
          <w:rFonts w:hint="eastAsia"/>
          <w:highlight w:val="none"/>
        </w:rPr>
        <w:t>35．错误的修正</w:t>
      </w:r>
    </w:p>
    <w:p>
      <w:pPr>
        <w:tabs>
          <w:tab w:val="clear" w:pos="426"/>
        </w:tabs>
        <w:rPr>
          <w:rFonts w:hint="eastAsia"/>
          <w:highlight w:val="none"/>
        </w:rPr>
      </w:pPr>
      <w:r>
        <w:rPr>
          <w:rFonts w:hint="eastAsia"/>
          <w:highlight w:val="none"/>
        </w:rPr>
        <w:t>35</w:t>
      </w:r>
      <w:r>
        <w:rPr>
          <w:highlight w:val="none"/>
        </w:rPr>
        <w:t xml:space="preserve">.1 </w:t>
      </w:r>
      <w:r>
        <w:rPr>
          <w:rFonts w:hint="eastAsia"/>
          <w:highlight w:val="none"/>
        </w:rPr>
        <w:t>评标委员会将审查投标文件是否完整、总体编排是否有序、文件签署是否合格、投标供应商是否提交了投标保证金、有无计算上的错误等。</w:t>
      </w:r>
    </w:p>
    <w:p>
      <w:pPr>
        <w:tabs>
          <w:tab w:val="clear" w:pos="426"/>
        </w:tabs>
        <w:rPr>
          <w:rFonts w:hint="eastAsia"/>
          <w:highlight w:val="none"/>
        </w:rPr>
      </w:pPr>
      <w:r>
        <w:rPr>
          <w:rFonts w:hint="eastAsia"/>
          <w:highlight w:val="none"/>
        </w:rPr>
        <w:t>35.2  算术错误将按以下方法更正（次序排先者优先）：</w:t>
      </w:r>
    </w:p>
    <w:p>
      <w:pPr>
        <w:tabs>
          <w:tab w:val="clear" w:pos="426"/>
        </w:tabs>
        <w:rPr>
          <w:rFonts w:hint="eastAsia"/>
          <w:highlight w:val="none"/>
        </w:rPr>
      </w:pPr>
      <w:r>
        <w:rPr>
          <w:rFonts w:hint="eastAsia"/>
          <w:highlight w:val="none"/>
        </w:rPr>
        <w:t>35.2.1投标文件中开标一览表（报价表）内容与投标文件中相应内容不一致的，以开标一览表（报价表）为准；</w:t>
      </w:r>
    </w:p>
    <w:p>
      <w:pPr>
        <w:tabs>
          <w:tab w:val="clear" w:pos="426"/>
        </w:tabs>
        <w:rPr>
          <w:rFonts w:hint="eastAsia"/>
          <w:highlight w:val="none"/>
        </w:rPr>
      </w:pPr>
      <w:r>
        <w:rPr>
          <w:rFonts w:hint="eastAsia"/>
          <w:highlight w:val="none"/>
        </w:rPr>
        <w:t>35.2.2大写金额和小写金额不一致的，以大写金额为准；</w:t>
      </w:r>
    </w:p>
    <w:p>
      <w:pPr>
        <w:tabs>
          <w:tab w:val="clear" w:pos="426"/>
        </w:tabs>
        <w:rPr>
          <w:rFonts w:hint="eastAsia"/>
          <w:highlight w:val="none"/>
        </w:rPr>
      </w:pPr>
      <w:r>
        <w:rPr>
          <w:rFonts w:hint="eastAsia"/>
          <w:highlight w:val="none"/>
        </w:rPr>
        <w:t>35.2.3单价金额小数点或者百分比有明显错位的，以开标一览表的总价为准，并修改单价；</w:t>
      </w:r>
    </w:p>
    <w:p>
      <w:pPr>
        <w:tabs>
          <w:tab w:val="clear" w:pos="426"/>
        </w:tabs>
        <w:rPr>
          <w:rFonts w:hint="eastAsia"/>
          <w:highlight w:val="none"/>
        </w:rPr>
      </w:pPr>
      <w:r>
        <w:rPr>
          <w:rFonts w:hint="eastAsia"/>
          <w:highlight w:val="none"/>
        </w:rPr>
        <w:t>35.2.4总价金额与按单价汇总金额不一致的，以单价金额计算结果为准；</w:t>
      </w:r>
    </w:p>
    <w:p>
      <w:pPr>
        <w:tabs>
          <w:tab w:val="clear" w:pos="426"/>
        </w:tabs>
        <w:rPr>
          <w:rFonts w:hint="eastAsia"/>
          <w:highlight w:val="none"/>
        </w:rPr>
      </w:pPr>
      <w:r>
        <w:rPr>
          <w:rFonts w:hint="eastAsia"/>
          <w:highlight w:val="none"/>
        </w:rPr>
        <w:t>35.2.5 对不同文字文本投标文件的解释发生异议的，以中文文本为准。</w:t>
      </w:r>
    </w:p>
    <w:p>
      <w:pPr>
        <w:tabs>
          <w:tab w:val="clear" w:pos="426"/>
        </w:tabs>
        <w:rPr>
          <w:rFonts w:hint="eastAsia"/>
          <w:highlight w:val="none"/>
        </w:rPr>
      </w:pPr>
      <w:r>
        <w:rPr>
          <w:rFonts w:hint="eastAsia"/>
          <w:highlight w:val="none"/>
        </w:rPr>
        <w:t>35</w:t>
      </w:r>
      <w:r>
        <w:rPr>
          <w:highlight w:val="none"/>
        </w:rPr>
        <w:t xml:space="preserve">.3  </w:t>
      </w:r>
      <w:r>
        <w:rPr>
          <w:rFonts w:hint="eastAsia"/>
          <w:highlight w:val="none"/>
        </w:rPr>
        <w:t>对于投标文件中不构成实质性偏差的不正规、不一致或不规则，给评审带来不便，评标委员会可以接受。</w:t>
      </w:r>
    </w:p>
    <w:p>
      <w:pPr>
        <w:tabs>
          <w:tab w:val="clear" w:pos="426"/>
        </w:tabs>
        <w:rPr>
          <w:rFonts w:hint="eastAsia"/>
          <w:highlight w:val="none"/>
        </w:rPr>
      </w:pPr>
      <w:r>
        <w:rPr>
          <w:rFonts w:hint="eastAsia"/>
          <w:highlight w:val="none"/>
        </w:rPr>
        <w:t>35.4  投标供应商的投标报价是可变动价格的，或包含了价格调整要求的，或投标报价中提供</w:t>
      </w:r>
      <w:r>
        <w:rPr>
          <w:highlight w:val="none"/>
        </w:rPr>
        <w:t>两个</w:t>
      </w:r>
      <w:r>
        <w:rPr>
          <w:rFonts w:hint="eastAsia"/>
          <w:highlight w:val="none"/>
        </w:rPr>
        <w:t>（含两个）以上的</w:t>
      </w:r>
      <w:r>
        <w:rPr>
          <w:highlight w:val="none"/>
        </w:rPr>
        <w:t>报价</w:t>
      </w:r>
      <w:r>
        <w:rPr>
          <w:rFonts w:hint="eastAsia"/>
          <w:highlight w:val="none"/>
        </w:rPr>
        <w:t>（</w:t>
      </w:r>
      <w:r>
        <w:rPr>
          <w:highlight w:val="none"/>
        </w:rPr>
        <w:t>招标文件规定提交备选投标方案的除外</w:t>
      </w:r>
      <w:r>
        <w:rPr>
          <w:rFonts w:hint="eastAsia"/>
          <w:highlight w:val="none"/>
        </w:rPr>
        <w:t>），或严重漏项，评标委员会无法进行判断的，评标委员会可以作无效标处理。</w:t>
      </w:r>
    </w:p>
    <w:p>
      <w:pPr>
        <w:tabs>
          <w:tab w:val="clear" w:pos="426"/>
        </w:tabs>
        <w:rPr>
          <w:rFonts w:hint="eastAsia"/>
          <w:highlight w:val="none"/>
        </w:rPr>
      </w:pPr>
      <w:r>
        <w:rPr>
          <w:rFonts w:hint="eastAsia"/>
          <w:highlight w:val="none"/>
        </w:rPr>
        <w:t>35.5根据上述修正错误的原则及方法调整或修正投标文件的投标报价，投标供应商同意后，调整后的投标报价对投标供应商起约束作用。</w:t>
      </w:r>
      <w:r>
        <w:rPr>
          <w:rFonts w:hint="eastAsia"/>
          <w:bCs/>
          <w:highlight w:val="none"/>
        </w:rPr>
        <w:t>如果投标供应商不接受修正后的报价，则其投标将被拒绝并且其投标保证金也将被没收，并不影响评标工作。</w:t>
      </w:r>
    </w:p>
    <w:p>
      <w:pPr>
        <w:tabs>
          <w:tab w:val="clear" w:pos="426"/>
        </w:tabs>
        <w:rPr>
          <w:rFonts w:hint="eastAsia"/>
          <w:highlight w:val="none"/>
        </w:rPr>
      </w:pPr>
      <w:r>
        <w:rPr>
          <w:rFonts w:hint="eastAsia"/>
          <w:highlight w:val="none"/>
        </w:rPr>
        <w:t>36．投标文件的比较与评价</w:t>
      </w:r>
    </w:p>
    <w:p>
      <w:pPr>
        <w:tabs>
          <w:tab w:val="clear" w:pos="426"/>
        </w:tabs>
        <w:rPr>
          <w:rFonts w:hint="eastAsia"/>
          <w:highlight w:val="none"/>
        </w:rPr>
      </w:pPr>
      <w:r>
        <w:rPr>
          <w:rFonts w:hint="eastAsia"/>
          <w:highlight w:val="none"/>
        </w:rPr>
        <w:t>36.1评标委员会将参照相关法律、法规、规定，仅对通过资格性审查和符合性审查的投标文件进行综合比较与评价。</w:t>
      </w:r>
    </w:p>
    <w:p>
      <w:pPr>
        <w:tabs>
          <w:tab w:val="clear" w:pos="426"/>
        </w:tabs>
        <w:rPr>
          <w:rFonts w:hint="eastAsia"/>
          <w:highlight w:val="none"/>
        </w:rPr>
      </w:pPr>
      <w:r>
        <w:rPr>
          <w:rFonts w:hint="eastAsia"/>
          <w:bCs/>
          <w:highlight w:val="none"/>
        </w:rPr>
        <w:t xml:space="preserve">36.2  </w:t>
      </w:r>
      <w:r>
        <w:rPr>
          <w:rFonts w:hint="eastAsia"/>
          <w:highlight w:val="none"/>
        </w:rPr>
        <w:t>评标委员会应当根据招标文件，审查并逐项列出投标文件的全部投标偏离。投标偏离分为重大偏离和细微偏离。</w:t>
      </w:r>
    </w:p>
    <w:p>
      <w:pPr>
        <w:tabs>
          <w:tab w:val="clear" w:pos="426"/>
        </w:tabs>
        <w:rPr>
          <w:rFonts w:hint="eastAsia"/>
          <w:highlight w:val="none"/>
        </w:rPr>
      </w:pPr>
      <w:r>
        <w:rPr>
          <w:rFonts w:hint="eastAsia"/>
          <w:highlight w:val="none"/>
        </w:rPr>
        <w:t>36.3 评标委员会应当对投标供应商的投标文件进行分析和比较。</w:t>
      </w:r>
    </w:p>
    <w:p>
      <w:pPr>
        <w:tabs>
          <w:tab w:val="clear" w:pos="426"/>
        </w:tabs>
        <w:rPr>
          <w:rFonts w:hint="eastAsia"/>
          <w:highlight w:val="none"/>
        </w:rPr>
      </w:pPr>
      <w:r>
        <w:rPr>
          <w:rFonts w:hint="eastAsia"/>
          <w:highlight w:val="none"/>
        </w:rPr>
        <w:t>36.4  评标委员会应当根据招标文件规定，对投标文件中的每项评审内容进行评审。</w:t>
      </w:r>
    </w:p>
    <w:p>
      <w:pPr>
        <w:tabs>
          <w:tab w:val="clear" w:pos="426"/>
        </w:tabs>
        <w:rPr>
          <w:rFonts w:hint="eastAsia"/>
          <w:kern w:val="10"/>
          <w:highlight w:val="none"/>
        </w:rPr>
      </w:pPr>
      <w:r>
        <w:rPr>
          <w:rFonts w:hint="eastAsia"/>
          <w:kern w:val="10"/>
          <w:highlight w:val="none"/>
        </w:rPr>
        <w:t>36.5  投标文件存在重大偏离的，应作废标处理。下列情况属于重大偏离：</w:t>
      </w:r>
    </w:p>
    <w:p>
      <w:pPr>
        <w:tabs>
          <w:tab w:val="clear" w:pos="426"/>
        </w:tabs>
        <w:rPr>
          <w:rFonts w:hint="eastAsia"/>
          <w:kern w:val="10"/>
          <w:highlight w:val="none"/>
        </w:rPr>
      </w:pPr>
      <w:r>
        <w:rPr>
          <w:rFonts w:hint="eastAsia"/>
          <w:kern w:val="10"/>
          <w:highlight w:val="none"/>
        </w:rPr>
        <w:t>36.5.1  投标供应商以他人的名义投标或出现下列串通投标、弄虚作假投标嫌疑的：</w:t>
      </w:r>
    </w:p>
    <w:p>
      <w:pPr>
        <w:tabs>
          <w:tab w:val="clear" w:pos="426"/>
        </w:tabs>
        <w:rPr>
          <w:rFonts w:hint="eastAsia"/>
          <w:kern w:val="10"/>
          <w:highlight w:val="none"/>
        </w:rPr>
      </w:pPr>
      <w:r>
        <w:rPr>
          <w:rFonts w:hint="eastAsia"/>
          <w:kern w:val="10"/>
          <w:highlight w:val="none"/>
        </w:rPr>
        <w:t xml:space="preserve">36.5.1.1  </w:t>
      </w:r>
      <w:r>
        <w:rPr>
          <w:kern w:val="10"/>
          <w:highlight w:val="none"/>
        </w:rPr>
        <w:t>不同投标供应商的投标文件内容存在非正常一致</w:t>
      </w:r>
      <w:r>
        <w:rPr>
          <w:rFonts w:hint="eastAsia"/>
          <w:kern w:val="10"/>
          <w:highlight w:val="none"/>
        </w:rPr>
        <w:t>的</w:t>
      </w:r>
      <w:r>
        <w:rPr>
          <w:kern w:val="10"/>
          <w:highlight w:val="none"/>
        </w:rPr>
        <w:t>；</w:t>
      </w:r>
    </w:p>
    <w:p>
      <w:pPr>
        <w:tabs>
          <w:tab w:val="clear" w:pos="426"/>
        </w:tabs>
        <w:rPr>
          <w:rFonts w:hint="eastAsia"/>
          <w:kern w:val="10"/>
          <w:highlight w:val="none"/>
        </w:rPr>
      </w:pPr>
      <w:r>
        <w:rPr>
          <w:rFonts w:hint="eastAsia"/>
          <w:kern w:val="10"/>
          <w:highlight w:val="none"/>
        </w:rPr>
        <w:t xml:space="preserve">36.5.1.2  </w:t>
      </w:r>
      <w:r>
        <w:rPr>
          <w:kern w:val="10"/>
          <w:highlight w:val="none"/>
        </w:rPr>
        <w:t>不同投标供应商的投标文件错漏之处一致的；</w:t>
      </w:r>
    </w:p>
    <w:p>
      <w:pPr>
        <w:tabs>
          <w:tab w:val="clear" w:pos="426"/>
        </w:tabs>
        <w:rPr>
          <w:rFonts w:hint="eastAsia"/>
          <w:kern w:val="10"/>
          <w:highlight w:val="none"/>
        </w:rPr>
      </w:pPr>
      <w:r>
        <w:rPr>
          <w:rFonts w:hint="eastAsia"/>
          <w:kern w:val="10"/>
          <w:highlight w:val="none"/>
        </w:rPr>
        <w:t xml:space="preserve">36.5.1.3  </w:t>
      </w:r>
      <w:r>
        <w:rPr>
          <w:kern w:val="10"/>
          <w:highlight w:val="none"/>
        </w:rPr>
        <w:t>不同投标供应商的投标报价或者报价组成异常一致或者呈规律性变化的；</w:t>
      </w:r>
    </w:p>
    <w:p>
      <w:pPr>
        <w:tabs>
          <w:tab w:val="clear" w:pos="426"/>
        </w:tabs>
        <w:rPr>
          <w:rFonts w:hint="eastAsia"/>
          <w:kern w:val="10"/>
          <w:highlight w:val="none"/>
        </w:rPr>
      </w:pPr>
      <w:r>
        <w:rPr>
          <w:rFonts w:hint="eastAsia"/>
          <w:kern w:val="10"/>
          <w:highlight w:val="none"/>
        </w:rPr>
        <w:t xml:space="preserve">36.5.1.4  </w:t>
      </w:r>
      <w:r>
        <w:rPr>
          <w:kern w:val="10"/>
          <w:highlight w:val="none"/>
        </w:rPr>
        <w:t>不同投标供应商的投标文件由同一单位或者同一个人编制的；</w:t>
      </w:r>
    </w:p>
    <w:p>
      <w:pPr>
        <w:tabs>
          <w:tab w:val="clear" w:pos="426"/>
        </w:tabs>
        <w:rPr>
          <w:rFonts w:hint="eastAsia"/>
          <w:kern w:val="10"/>
          <w:highlight w:val="none"/>
        </w:rPr>
      </w:pPr>
      <w:r>
        <w:rPr>
          <w:rFonts w:hint="eastAsia"/>
          <w:kern w:val="10"/>
          <w:highlight w:val="none"/>
        </w:rPr>
        <w:t xml:space="preserve">36.5.1.5  </w:t>
      </w:r>
      <w:r>
        <w:rPr>
          <w:kern w:val="10"/>
          <w:highlight w:val="none"/>
        </w:rPr>
        <w:t>不同投标供应商的投标文件载明的</w:t>
      </w:r>
      <w:r>
        <w:rPr>
          <w:rFonts w:hint="eastAsia"/>
          <w:kern w:val="10"/>
          <w:highlight w:val="none"/>
        </w:rPr>
        <w:t>项目负责人与主要技术人员</w:t>
      </w:r>
      <w:r>
        <w:rPr>
          <w:kern w:val="10"/>
          <w:highlight w:val="none"/>
        </w:rPr>
        <w:t>出现同一人的；</w:t>
      </w:r>
    </w:p>
    <w:p>
      <w:pPr>
        <w:tabs>
          <w:tab w:val="clear" w:pos="426"/>
        </w:tabs>
        <w:rPr>
          <w:rFonts w:hint="eastAsia"/>
          <w:kern w:val="10"/>
          <w:highlight w:val="none"/>
        </w:rPr>
      </w:pPr>
      <w:r>
        <w:rPr>
          <w:rFonts w:hint="eastAsia"/>
          <w:kern w:val="10"/>
          <w:highlight w:val="none"/>
        </w:rPr>
        <w:t xml:space="preserve">36.5.1.6  </w:t>
      </w:r>
      <w:r>
        <w:rPr>
          <w:kern w:val="10"/>
          <w:highlight w:val="none"/>
        </w:rPr>
        <w:t>不同投标供应商的投标文件相互混装的；</w:t>
      </w:r>
    </w:p>
    <w:p>
      <w:pPr>
        <w:tabs>
          <w:tab w:val="clear" w:pos="426"/>
        </w:tabs>
        <w:rPr>
          <w:rFonts w:hint="eastAsia"/>
          <w:kern w:val="10"/>
          <w:highlight w:val="none"/>
        </w:rPr>
      </w:pPr>
      <w:r>
        <w:rPr>
          <w:rFonts w:hint="eastAsia"/>
          <w:kern w:val="10"/>
          <w:highlight w:val="none"/>
        </w:rPr>
        <w:t xml:space="preserve">36.5.1.7  </w:t>
      </w:r>
      <w:r>
        <w:rPr>
          <w:kern w:val="10"/>
          <w:highlight w:val="none"/>
        </w:rPr>
        <w:t>不同投标供应商委托同一人投标的</w:t>
      </w:r>
      <w:r>
        <w:rPr>
          <w:rFonts w:hint="eastAsia"/>
          <w:kern w:val="10"/>
          <w:highlight w:val="none"/>
        </w:rPr>
        <w:t>；</w:t>
      </w:r>
    </w:p>
    <w:p>
      <w:pPr>
        <w:tabs>
          <w:tab w:val="clear" w:pos="426"/>
        </w:tabs>
        <w:rPr>
          <w:rFonts w:hint="eastAsia"/>
          <w:kern w:val="10"/>
          <w:highlight w:val="none"/>
        </w:rPr>
      </w:pPr>
      <w:r>
        <w:rPr>
          <w:rFonts w:hint="eastAsia"/>
          <w:kern w:val="10"/>
          <w:highlight w:val="none"/>
        </w:rPr>
        <w:t>36.5.1.8  不同投标供应商聘请同一人为其投标提供技术或者经济咨询服务的，但招标工程本身要求采用专有技术的除外；</w:t>
      </w:r>
    </w:p>
    <w:p>
      <w:pPr>
        <w:tabs>
          <w:tab w:val="clear" w:pos="426"/>
        </w:tabs>
        <w:rPr>
          <w:rFonts w:hint="eastAsia"/>
          <w:kern w:val="10"/>
          <w:highlight w:val="none"/>
        </w:rPr>
      </w:pPr>
      <w:r>
        <w:rPr>
          <w:rFonts w:hint="eastAsia"/>
          <w:kern w:val="10"/>
          <w:highlight w:val="none"/>
        </w:rPr>
        <w:t xml:space="preserve">36.5.1.9  </w:t>
      </w:r>
      <w:r>
        <w:rPr>
          <w:kern w:val="10"/>
          <w:highlight w:val="none"/>
        </w:rPr>
        <w:t>评标委员会认定的其他串通投标情形。</w:t>
      </w:r>
    </w:p>
    <w:p>
      <w:pPr>
        <w:tabs>
          <w:tab w:val="clear" w:pos="426"/>
        </w:tabs>
        <w:rPr>
          <w:rFonts w:hint="eastAsia"/>
          <w:highlight w:val="none"/>
        </w:rPr>
      </w:pPr>
      <w:r>
        <w:rPr>
          <w:rFonts w:hint="eastAsia"/>
          <w:kern w:val="10"/>
          <w:highlight w:val="none"/>
        </w:rPr>
        <w:t xml:space="preserve">36.5.2 </w:t>
      </w:r>
      <w:r>
        <w:rPr>
          <w:rFonts w:hint="eastAsia"/>
          <w:highlight w:val="none"/>
        </w:rPr>
        <w:t xml:space="preserve"> 投标文件不满足招标文件规定的任何一项实质性要求的；</w:t>
      </w:r>
    </w:p>
    <w:p>
      <w:pPr>
        <w:tabs>
          <w:tab w:val="clear" w:pos="426"/>
        </w:tabs>
        <w:rPr>
          <w:rFonts w:hint="eastAsia"/>
          <w:highlight w:val="none"/>
        </w:rPr>
      </w:pPr>
      <w:r>
        <w:rPr>
          <w:rFonts w:hint="eastAsia"/>
          <w:bCs/>
          <w:kern w:val="10"/>
          <w:highlight w:val="none"/>
        </w:rPr>
        <w:t xml:space="preserve">36.5.3 </w:t>
      </w:r>
      <w:r>
        <w:rPr>
          <w:rFonts w:hint="eastAsia"/>
          <w:highlight w:val="none"/>
        </w:rPr>
        <w:t xml:space="preserve"> 投标文件对招标文件规定的非实质性要求的偏离，超出允许偏离的最大范围或最高项数的；</w:t>
      </w:r>
    </w:p>
    <w:p>
      <w:pPr>
        <w:tabs>
          <w:tab w:val="clear" w:pos="426"/>
        </w:tabs>
        <w:rPr>
          <w:rFonts w:hint="eastAsia"/>
          <w:highlight w:val="none"/>
        </w:rPr>
      </w:pPr>
      <w:r>
        <w:rPr>
          <w:kern w:val="10"/>
          <w:highlight w:val="none"/>
        </w:rPr>
        <w:t>3</w:t>
      </w:r>
      <w:r>
        <w:rPr>
          <w:rFonts w:hint="eastAsia"/>
          <w:kern w:val="10"/>
          <w:highlight w:val="none"/>
        </w:rPr>
        <w:t>6</w:t>
      </w:r>
      <w:r>
        <w:rPr>
          <w:kern w:val="10"/>
          <w:highlight w:val="none"/>
        </w:rPr>
        <w:t>.5.</w:t>
      </w:r>
      <w:r>
        <w:rPr>
          <w:rFonts w:hint="eastAsia"/>
          <w:kern w:val="10"/>
          <w:highlight w:val="none"/>
        </w:rPr>
        <w:t xml:space="preserve">4 </w:t>
      </w:r>
      <w:r>
        <w:rPr>
          <w:rFonts w:hint="eastAsia"/>
          <w:highlight w:val="none"/>
        </w:rPr>
        <w:t xml:space="preserve"> 评标委员会根据招标文件的规定对投标文件的投标价格进行调整，投标供应商不接受调整方式的，或不接受调整后的价格的；</w:t>
      </w:r>
    </w:p>
    <w:p>
      <w:pPr>
        <w:tabs>
          <w:tab w:val="clear" w:pos="426"/>
        </w:tabs>
        <w:rPr>
          <w:rFonts w:hint="eastAsia"/>
          <w:kern w:val="10"/>
          <w:highlight w:val="none"/>
        </w:rPr>
      </w:pPr>
      <w:r>
        <w:rPr>
          <w:rFonts w:hint="eastAsia"/>
          <w:kern w:val="10"/>
          <w:highlight w:val="none"/>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rFonts w:hint="eastAsia"/>
          <w:kern w:val="10"/>
          <w:highlight w:val="none"/>
        </w:rPr>
      </w:pPr>
      <w:r>
        <w:rPr>
          <w:rFonts w:hint="eastAsia"/>
          <w:kern w:val="10"/>
          <w:highlight w:val="none"/>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rPr>
          <w:rFonts w:hint="eastAsia"/>
          <w:highlight w:val="none"/>
        </w:rPr>
      </w:pPr>
      <w:r>
        <w:rPr>
          <w:rFonts w:hint="eastAsia"/>
          <w:highlight w:val="none"/>
        </w:rPr>
        <w:t>37.实地考察、演示或设备测试</w:t>
      </w:r>
    </w:p>
    <w:p>
      <w:pPr>
        <w:tabs>
          <w:tab w:val="clear" w:pos="426"/>
        </w:tabs>
        <w:rPr>
          <w:rFonts w:hint="eastAsia"/>
          <w:highlight w:val="none"/>
        </w:rPr>
      </w:pPr>
      <w:r>
        <w:rPr>
          <w:rFonts w:hint="eastAsia"/>
          <w:highlight w:val="none"/>
        </w:rPr>
        <w:t>37.1在招标过程中，评标委员会有权决定是否对本项目投标供应商进行现场勘察或实地考察或检验有关证明材料的原件。投标供应商应随时做好接受检查的准备。</w:t>
      </w:r>
    </w:p>
    <w:p>
      <w:pPr>
        <w:tabs>
          <w:tab w:val="clear" w:pos="426"/>
        </w:tabs>
        <w:rPr>
          <w:rFonts w:hint="eastAsia"/>
          <w:highlight w:val="none"/>
        </w:rPr>
      </w:pPr>
      <w:r>
        <w:rPr>
          <w:rFonts w:hint="eastAsia"/>
          <w:highlight w:val="none"/>
        </w:rPr>
        <w:t>37.2若招标文件要求进行现场演示或设备测试的，投标供应商应做好相应准备。</w:t>
      </w:r>
    </w:p>
    <w:p>
      <w:pPr>
        <w:tabs>
          <w:tab w:val="clear" w:pos="426"/>
        </w:tabs>
        <w:rPr>
          <w:rFonts w:hint="eastAsia"/>
          <w:highlight w:val="none"/>
        </w:rPr>
      </w:pPr>
      <w:r>
        <w:rPr>
          <w:rFonts w:hint="eastAsia"/>
          <w:highlight w:val="none"/>
        </w:rPr>
        <w:t>38．评标方法</w:t>
      </w:r>
    </w:p>
    <w:p>
      <w:pPr>
        <w:tabs>
          <w:tab w:val="clear" w:pos="426"/>
        </w:tabs>
        <w:rPr>
          <w:rFonts w:hint="eastAsia"/>
          <w:szCs w:val="21"/>
          <w:highlight w:val="none"/>
        </w:rPr>
      </w:pPr>
      <w:r>
        <w:rPr>
          <w:rFonts w:hint="eastAsia"/>
          <w:szCs w:val="21"/>
          <w:highlight w:val="none"/>
        </w:rPr>
        <w:t>38.1</w:t>
      </w:r>
      <w:r>
        <w:rPr>
          <w:rFonts w:hint="eastAsia"/>
          <w:highlight w:val="none"/>
        </w:rPr>
        <w:t>根据有关要求，</w:t>
      </w:r>
      <w:r>
        <w:rPr>
          <w:rFonts w:hint="eastAsia"/>
          <w:szCs w:val="21"/>
          <w:highlight w:val="none"/>
        </w:rPr>
        <w:t>项目评标方法根据是否是评定分离项目进行选择。</w:t>
      </w:r>
    </w:p>
    <w:p>
      <w:pPr>
        <w:tabs>
          <w:tab w:val="clear" w:pos="426"/>
        </w:tabs>
        <w:rPr>
          <w:rFonts w:hint="eastAsia"/>
          <w:highlight w:val="none"/>
        </w:rPr>
      </w:pPr>
      <w:r>
        <w:rPr>
          <w:rFonts w:hint="eastAsia"/>
          <w:highlight w:val="none"/>
        </w:rPr>
        <w:t>38.2非评定分离项目</w:t>
      </w:r>
    </w:p>
    <w:p>
      <w:pPr>
        <w:tabs>
          <w:tab w:val="clear" w:pos="426"/>
        </w:tabs>
        <w:rPr>
          <w:rFonts w:hint="eastAsia"/>
          <w:highlight w:val="none"/>
        </w:rPr>
      </w:pPr>
      <w:r>
        <w:rPr>
          <w:rFonts w:hint="eastAsia"/>
          <w:highlight w:val="none"/>
        </w:rPr>
        <w:t>非评定分离项目评分方法为最低评标价法、综合评标法、性价比法及法律、法规允许的其它评标办法。</w:t>
      </w:r>
    </w:p>
    <w:p>
      <w:pPr>
        <w:tabs>
          <w:tab w:val="clear" w:pos="426"/>
        </w:tabs>
        <w:rPr>
          <w:rFonts w:hint="eastAsia"/>
          <w:b/>
          <w:highlight w:val="none"/>
        </w:rPr>
      </w:pPr>
      <w:r>
        <w:rPr>
          <w:rFonts w:hint="eastAsia"/>
          <w:highlight w:val="none"/>
        </w:rPr>
        <w:t>38.2.1最低评标价法</w:t>
      </w:r>
    </w:p>
    <w:p>
      <w:pPr>
        <w:tabs>
          <w:tab w:val="clear" w:pos="426"/>
        </w:tabs>
        <w:rPr>
          <w:rFonts w:hint="eastAsia"/>
          <w:highlight w:val="none"/>
        </w:rPr>
      </w:pPr>
      <w:r>
        <w:rPr>
          <w:rFonts w:hint="eastAsia"/>
          <w:highlight w:val="none"/>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rFonts w:hint="eastAsia"/>
          <w:b/>
          <w:highlight w:val="none"/>
        </w:rPr>
      </w:pPr>
      <w:r>
        <w:rPr>
          <w:rFonts w:hint="eastAsia"/>
          <w:highlight w:val="none"/>
        </w:rPr>
        <w:t>38.2.2综合评分法</w:t>
      </w:r>
    </w:p>
    <w:p>
      <w:pPr>
        <w:tabs>
          <w:tab w:val="clear" w:pos="426"/>
        </w:tabs>
        <w:rPr>
          <w:rFonts w:hint="eastAsia"/>
          <w:highlight w:val="none"/>
        </w:rPr>
      </w:pPr>
      <w:r>
        <w:rPr>
          <w:rFonts w:hint="eastAsia"/>
          <w:highlight w:val="none"/>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rFonts w:hint="eastAsia"/>
          <w:b/>
          <w:bCs/>
          <w:highlight w:val="none"/>
        </w:rPr>
      </w:pPr>
      <w:r>
        <w:rPr>
          <w:rFonts w:hint="eastAsia"/>
          <w:highlight w:val="none"/>
        </w:rPr>
        <w:t>38.2.3</w:t>
      </w:r>
      <w:r>
        <w:rPr>
          <w:rFonts w:hint="eastAsia"/>
          <w:bCs/>
          <w:highlight w:val="none"/>
        </w:rPr>
        <w:t>性价比法</w:t>
      </w:r>
    </w:p>
    <w:p>
      <w:pPr>
        <w:tabs>
          <w:tab w:val="clear" w:pos="426"/>
        </w:tabs>
        <w:rPr>
          <w:rFonts w:hint="eastAsia"/>
          <w:highlight w:val="none"/>
        </w:rPr>
      </w:pPr>
      <w:r>
        <w:rPr>
          <w:rFonts w:hint="eastAsia"/>
          <w:highlight w:val="none"/>
        </w:rPr>
        <w:t>性价比法是指除价格因素外，经对投标文件进行评审，计算出评分因素的总分，除以投标报价，以商数最高的投标供应商作为中标候选供应商或中标供应商的评标方法。</w:t>
      </w:r>
    </w:p>
    <w:p>
      <w:pPr>
        <w:tabs>
          <w:tab w:val="clear" w:pos="426"/>
        </w:tabs>
        <w:rPr>
          <w:rFonts w:hint="eastAsia"/>
          <w:highlight w:val="none"/>
        </w:rPr>
      </w:pPr>
      <w:r>
        <w:rPr>
          <w:rFonts w:hint="eastAsia"/>
          <w:highlight w:val="none"/>
        </w:rPr>
        <w:t>38.3评定分离项目</w:t>
      </w:r>
    </w:p>
    <w:p>
      <w:pPr>
        <w:tabs>
          <w:tab w:val="clear" w:pos="426"/>
        </w:tabs>
        <w:rPr>
          <w:rFonts w:hint="eastAsia"/>
          <w:highlight w:val="none"/>
        </w:rPr>
      </w:pPr>
      <w:r>
        <w:rPr>
          <w:rFonts w:hint="eastAsia"/>
          <w:highlight w:val="none"/>
        </w:rPr>
        <w:t>评定分离项目，评审委员会应当按照综合评分法、定性评审法、最低价法或者法律、法规及规章规定的其他评审方法对投标文件进行评审。</w:t>
      </w:r>
    </w:p>
    <w:p>
      <w:pPr>
        <w:tabs>
          <w:tab w:val="clear" w:pos="426"/>
        </w:tabs>
        <w:rPr>
          <w:rFonts w:hint="eastAsia"/>
          <w:b/>
          <w:highlight w:val="none"/>
        </w:rPr>
      </w:pPr>
      <w:r>
        <w:rPr>
          <w:rFonts w:hint="eastAsia"/>
          <w:highlight w:val="none"/>
        </w:rPr>
        <w:t>38.3.1综合评分法</w:t>
      </w:r>
    </w:p>
    <w:p>
      <w:pPr>
        <w:tabs>
          <w:tab w:val="clear" w:pos="426"/>
        </w:tabs>
        <w:rPr>
          <w:rFonts w:hint="eastAsia"/>
          <w:highlight w:val="none"/>
        </w:rPr>
      </w:pPr>
      <w:r>
        <w:rPr>
          <w:rFonts w:hint="eastAsia"/>
          <w:highlight w:val="none"/>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rFonts w:hint="eastAsia"/>
          <w:sz w:val="18"/>
          <w:szCs w:val="18"/>
          <w:highlight w:val="none"/>
          <w:shd w:val="clear" w:color="auto" w:fill="FFFFFF"/>
        </w:rPr>
      </w:pPr>
      <w:r>
        <w:rPr>
          <w:rFonts w:hint="eastAsia"/>
          <w:highlight w:val="none"/>
        </w:rPr>
        <w:t>38.3.2</w:t>
      </w:r>
      <w:r>
        <w:rPr>
          <w:rFonts w:hint="eastAsia"/>
          <w:bCs/>
          <w:highlight w:val="none"/>
        </w:rPr>
        <w:t>定性评审法</w:t>
      </w:r>
    </w:p>
    <w:p>
      <w:pPr>
        <w:tabs>
          <w:tab w:val="clear" w:pos="426"/>
        </w:tabs>
        <w:rPr>
          <w:rFonts w:hint="eastAsia"/>
          <w:highlight w:val="none"/>
        </w:rPr>
      </w:pPr>
      <w:r>
        <w:rPr>
          <w:rFonts w:hint="eastAsia"/>
          <w:highlight w:val="none"/>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rPr>
          <w:rFonts w:hint="eastAsia"/>
          <w:highlight w:val="none"/>
        </w:rPr>
      </w:pPr>
      <w:r>
        <w:rPr>
          <w:rFonts w:hint="eastAsia"/>
          <w:highlight w:val="none"/>
        </w:rPr>
        <w:t>38.3.3最低价法</w:t>
      </w:r>
    </w:p>
    <w:p>
      <w:pPr>
        <w:tabs>
          <w:tab w:val="clear" w:pos="426"/>
        </w:tabs>
        <w:rPr>
          <w:rFonts w:hint="eastAsia"/>
          <w:highlight w:val="none"/>
        </w:rPr>
      </w:pPr>
      <w:r>
        <w:rPr>
          <w:rFonts w:hint="eastAsia"/>
          <w:highlight w:val="none"/>
        </w:rPr>
        <w:t>最低价法是指以价格为主要因素确定候选中标供应商的评审方法。</w:t>
      </w:r>
    </w:p>
    <w:p>
      <w:pPr>
        <w:tabs>
          <w:tab w:val="clear" w:pos="426"/>
        </w:tabs>
        <w:rPr>
          <w:rFonts w:hint="eastAsia"/>
          <w:highlight w:val="none"/>
        </w:rPr>
      </w:pPr>
      <w:r>
        <w:rPr>
          <w:rFonts w:hint="eastAsia"/>
          <w:highlight w:val="none"/>
        </w:rPr>
        <w:t>38.4本项目采用的评标方法见本项目招标文件专用条款的相关内容。</w:t>
      </w:r>
    </w:p>
    <w:p>
      <w:pPr>
        <w:pStyle w:val="5"/>
        <w:tabs>
          <w:tab w:val="clear" w:pos="426"/>
        </w:tabs>
        <w:rPr>
          <w:rFonts w:hint="eastAsia"/>
          <w:highlight w:val="none"/>
        </w:rPr>
      </w:pPr>
      <w:bookmarkStart w:id="165" w:name="_Toc14427260"/>
      <w:bookmarkStart w:id="166" w:name="_Toc10018"/>
      <w:bookmarkStart w:id="167" w:name="_Toc529280587"/>
      <w:bookmarkStart w:id="168" w:name="_Toc530152528"/>
      <w:r>
        <w:rPr>
          <w:rFonts w:hint="eastAsia"/>
          <w:highlight w:val="none"/>
        </w:rPr>
        <w:t>第七章 定标及公示</w:t>
      </w:r>
      <w:bookmarkEnd w:id="165"/>
      <w:bookmarkEnd w:id="166"/>
      <w:bookmarkEnd w:id="167"/>
      <w:bookmarkEnd w:id="168"/>
    </w:p>
    <w:p>
      <w:pPr>
        <w:tabs>
          <w:tab w:val="clear" w:pos="426"/>
        </w:tabs>
        <w:rPr>
          <w:rFonts w:hint="eastAsia"/>
          <w:highlight w:val="none"/>
        </w:rPr>
      </w:pPr>
      <w:r>
        <w:rPr>
          <w:rFonts w:hint="eastAsia"/>
          <w:highlight w:val="none"/>
        </w:rPr>
        <w:t>39．定标方法</w:t>
      </w:r>
    </w:p>
    <w:p>
      <w:pPr>
        <w:tabs>
          <w:tab w:val="clear" w:pos="426"/>
        </w:tabs>
        <w:rPr>
          <w:rFonts w:hint="eastAsia"/>
          <w:highlight w:val="none"/>
        </w:rPr>
      </w:pPr>
      <w:r>
        <w:rPr>
          <w:rFonts w:hint="eastAsia"/>
          <w:highlight w:val="none"/>
        </w:rPr>
        <w:t>39</w:t>
      </w:r>
      <w:r>
        <w:rPr>
          <w:highlight w:val="none"/>
        </w:rPr>
        <w:t>.</w:t>
      </w:r>
      <w:r>
        <w:rPr>
          <w:rFonts w:hint="eastAsia"/>
          <w:highlight w:val="none"/>
        </w:rPr>
        <w:t>1项目定标方法根据是否是评定分离项目进行选择。</w:t>
      </w:r>
    </w:p>
    <w:p>
      <w:pPr>
        <w:tabs>
          <w:tab w:val="clear" w:pos="426"/>
        </w:tabs>
        <w:rPr>
          <w:rFonts w:hint="eastAsia"/>
          <w:highlight w:val="none"/>
        </w:rPr>
      </w:pPr>
      <w:r>
        <w:rPr>
          <w:rFonts w:hint="eastAsia"/>
          <w:highlight w:val="none"/>
        </w:rPr>
        <w:t>39</w:t>
      </w:r>
      <w:r>
        <w:rPr>
          <w:highlight w:val="none"/>
        </w:rPr>
        <w:t>.</w:t>
      </w:r>
      <w:r>
        <w:rPr>
          <w:rFonts w:hint="eastAsia"/>
          <w:highlight w:val="none"/>
        </w:rPr>
        <w:t>2非评定分离项目</w:t>
      </w:r>
    </w:p>
    <w:p>
      <w:pPr>
        <w:tabs>
          <w:tab w:val="clear" w:pos="426"/>
        </w:tabs>
        <w:rPr>
          <w:rFonts w:hint="eastAsia"/>
          <w:highlight w:val="none"/>
        </w:rPr>
      </w:pPr>
      <w:r>
        <w:rPr>
          <w:rFonts w:hint="eastAsia"/>
          <w:highlight w:val="none"/>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rPr>
          <w:rFonts w:hint="eastAsia"/>
          <w:highlight w:val="none"/>
        </w:rPr>
      </w:pPr>
      <w:r>
        <w:rPr>
          <w:rFonts w:hint="eastAsia"/>
          <w:highlight w:val="none"/>
        </w:rPr>
        <w:t>39</w:t>
      </w:r>
      <w:r>
        <w:rPr>
          <w:highlight w:val="none"/>
        </w:rPr>
        <w:t>.</w:t>
      </w:r>
      <w:r>
        <w:rPr>
          <w:rFonts w:hint="eastAsia"/>
          <w:highlight w:val="none"/>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rPr>
          <w:rFonts w:hint="eastAsia"/>
          <w:highlight w:val="none"/>
        </w:rPr>
      </w:pPr>
      <w:r>
        <w:rPr>
          <w:rFonts w:hint="eastAsia"/>
          <w:highlight w:val="none"/>
        </w:rPr>
        <w:t>39</w:t>
      </w:r>
      <w:r>
        <w:rPr>
          <w:highlight w:val="none"/>
        </w:rPr>
        <w:t>.</w:t>
      </w:r>
      <w:r>
        <w:rPr>
          <w:rFonts w:hint="eastAsia"/>
          <w:highlight w:val="none"/>
        </w:rPr>
        <w:t>2.2</w:t>
      </w:r>
      <w:r>
        <w:rPr>
          <w:highlight w:val="none"/>
        </w:rPr>
        <w:t>采用综合评</w:t>
      </w:r>
      <w:r>
        <w:rPr>
          <w:rFonts w:hint="eastAsia"/>
          <w:highlight w:val="none"/>
        </w:rPr>
        <w:t>分</w:t>
      </w:r>
      <w:r>
        <w:rPr>
          <w:highlight w:val="none"/>
        </w:rPr>
        <w:t>法的，按评审后得分由高到低顺序排列。得分相同的，按投标报价由低到高顺序排列。得分且投标报价相同的，按技术指标优劣顺序排列。</w:t>
      </w:r>
    </w:p>
    <w:p>
      <w:pPr>
        <w:tabs>
          <w:tab w:val="clear" w:pos="426"/>
        </w:tabs>
        <w:rPr>
          <w:rFonts w:hint="eastAsia"/>
          <w:highlight w:val="none"/>
        </w:rPr>
      </w:pPr>
      <w:r>
        <w:rPr>
          <w:rFonts w:hint="eastAsia"/>
          <w:highlight w:val="none"/>
        </w:rPr>
        <w:t>39</w:t>
      </w:r>
      <w:r>
        <w:rPr>
          <w:highlight w:val="none"/>
        </w:rPr>
        <w:t>.</w:t>
      </w:r>
      <w:r>
        <w:rPr>
          <w:rFonts w:hint="eastAsia"/>
          <w:highlight w:val="none"/>
        </w:rPr>
        <w:t>2.3</w:t>
      </w:r>
      <w:r>
        <w:rPr>
          <w:highlight w:val="none"/>
        </w:rPr>
        <w:t>采用</w:t>
      </w:r>
      <w:r>
        <w:rPr>
          <w:rFonts w:hint="eastAsia"/>
          <w:highlight w:val="none"/>
        </w:rPr>
        <w:t>性价比</w:t>
      </w:r>
      <w:r>
        <w:rPr>
          <w:highlight w:val="none"/>
        </w:rPr>
        <w:t>法的</w:t>
      </w:r>
      <w:r>
        <w:rPr>
          <w:rFonts w:hint="eastAsia"/>
          <w:highlight w:val="none"/>
        </w:rPr>
        <w:t>，按商数得分由高到低顺序排列。商数得分相同的，按投标报价由低到高顺序排列。商数得分且投标报价相同的，按技术指标优劣顺序排列。</w:t>
      </w:r>
    </w:p>
    <w:p>
      <w:pPr>
        <w:tabs>
          <w:tab w:val="clear" w:pos="426"/>
        </w:tabs>
        <w:rPr>
          <w:rFonts w:hint="eastAsia"/>
          <w:highlight w:val="none"/>
        </w:rPr>
      </w:pPr>
      <w:r>
        <w:rPr>
          <w:rFonts w:hint="eastAsia"/>
          <w:highlight w:val="none"/>
        </w:rPr>
        <w:t>39</w:t>
      </w:r>
      <w:r>
        <w:rPr>
          <w:highlight w:val="none"/>
        </w:rPr>
        <w:t>.</w:t>
      </w:r>
      <w:r>
        <w:rPr>
          <w:rFonts w:hint="eastAsia"/>
          <w:highlight w:val="none"/>
        </w:rPr>
        <w:t>3评定分离项目</w:t>
      </w:r>
    </w:p>
    <w:p>
      <w:pPr>
        <w:tabs>
          <w:tab w:val="clear" w:pos="426"/>
        </w:tabs>
        <w:rPr>
          <w:rFonts w:hint="eastAsia"/>
          <w:highlight w:val="none"/>
        </w:rPr>
      </w:pPr>
      <w:r>
        <w:rPr>
          <w:rFonts w:hint="eastAsia"/>
          <w:highlight w:val="none"/>
        </w:rPr>
        <w:t>适用评定分离的采购项目，采购人应当根据不同的项目选用自定法、抽签法、竞价法或者法律、法规及规章规定的其他定标方法确定中标供应商。</w:t>
      </w:r>
    </w:p>
    <w:p>
      <w:pPr>
        <w:tabs>
          <w:tab w:val="clear" w:pos="426"/>
        </w:tabs>
        <w:rPr>
          <w:rFonts w:hint="eastAsia"/>
          <w:highlight w:val="none"/>
        </w:rPr>
      </w:pPr>
      <w:r>
        <w:rPr>
          <w:rFonts w:hint="eastAsia"/>
          <w:highlight w:val="none"/>
        </w:rPr>
        <w:t>39</w:t>
      </w:r>
      <w:r>
        <w:rPr>
          <w:highlight w:val="none"/>
        </w:rPr>
        <w:t>.</w:t>
      </w:r>
      <w:r>
        <w:rPr>
          <w:rFonts w:hint="eastAsia"/>
          <w:highlight w:val="none"/>
        </w:rPr>
        <w:t>3.1自定法是指采购人组织定标委员会，由定标委员会在候选中标供应商中确定中标供应商。</w:t>
      </w:r>
    </w:p>
    <w:p>
      <w:pPr>
        <w:tabs>
          <w:tab w:val="clear" w:pos="426"/>
        </w:tabs>
        <w:rPr>
          <w:rFonts w:hint="eastAsia"/>
          <w:highlight w:val="none"/>
        </w:rPr>
      </w:pPr>
      <w:r>
        <w:rPr>
          <w:rFonts w:hint="eastAsia"/>
          <w:highlight w:val="none"/>
        </w:rPr>
        <w:t>39</w:t>
      </w:r>
      <w:r>
        <w:rPr>
          <w:highlight w:val="none"/>
        </w:rPr>
        <w:t>.</w:t>
      </w:r>
      <w:r>
        <w:rPr>
          <w:rFonts w:hint="eastAsia"/>
          <w:highlight w:val="none"/>
        </w:rPr>
        <w:t>3.2 抽签法是指候选中标供应商产生后，由采购人委托招标机构按照随机抽签的方式在候选中标供应商中确定中标供应商。 </w:t>
      </w:r>
    </w:p>
    <w:p>
      <w:pPr>
        <w:tabs>
          <w:tab w:val="clear" w:pos="426"/>
        </w:tabs>
        <w:rPr>
          <w:rFonts w:hint="eastAsia"/>
          <w:highlight w:val="none"/>
        </w:rPr>
      </w:pPr>
      <w:r>
        <w:rPr>
          <w:rFonts w:hint="eastAsia"/>
          <w:highlight w:val="none"/>
        </w:rPr>
        <w:t>39</w:t>
      </w:r>
      <w:r>
        <w:rPr>
          <w:highlight w:val="none"/>
        </w:rPr>
        <w:t>.</w:t>
      </w:r>
      <w:r>
        <w:rPr>
          <w:rFonts w:hint="eastAsia"/>
          <w:highlight w:val="none"/>
        </w:rPr>
        <w:t>3.3竞价法是指候选中标供应商产生后，由采购人委托招标机构组织候选中标供应商进行二次竞价，最终报价最低的为中标供应商</w:t>
      </w:r>
    </w:p>
    <w:p>
      <w:pPr>
        <w:tabs>
          <w:tab w:val="clear" w:pos="426"/>
        </w:tabs>
        <w:rPr>
          <w:rFonts w:hint="eastAsia"/>
          <w:highlight w:val="none"/>
        </w:rPr>
      </w:pPr>
      <w:r>
        <w:rPr>
          <w:rFonts w:hint="eastAsia"/>
          <w:highlight w:val="none"/>
        </w:rPr>
        <w:t>39.4本项目采用的定标方法见本项目招标文件专用条款的相关内容。</w:t>
      </w:r>
    </w:p>
    <w:p>
      <w:pPr>
        <w:tabs>
          <w:tab w:val="clear" w:pos="426"/>
        </w:tabs>
        <w:rPr>
          <w:rFonts w:hint="eastAsia"/>
          <w:highlight w:val="none"/>
        </w:rPr>
      </w:pPr>
      <w:r>
        <w:rPr>
          <w:rFonts w:hint="eastAsia"/>
          <w:highlight w:val="none"/>
        </w:rPr>
        <w:t>40．编写评标报告</w:t>
      </w:r>
    </w:p>
    <w:p>
      <w:pPr>
        <w:tabs>
          <w:tab w:val="clear" w:pos="426"/>
        </w:tabs>
        <w:rPr>
          <w:rFonts w:hint="eastAsia"/>
          <w:highlight w:val="none"/>
        </w:rPr>
      </w:pPr>
      <w:r>
        <w:rPr>
          <w:rFonts w:hint="eastAsia"/>
          <w:highlight w:val="none"/>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rFonts w:hint="eastAsia"/>
          <w:highlight w:val="none"/>
        </w:rPr>
      </w:pPr>
      <w:r>
        <w:rPr>
          <w:rFonts w:hint="eastAsia"/>
          <w:highlight w:val="none"/>
        </w:rPr>
        <w:t>41．中标公告</w:t>
      </w:r>
    </w:p>
    <w:p>
      <w:pPr>
        <w:tabs>
          <w:tab w:val="clear" w:pos="426"/>
        </w:tabs>
        <w:rPr>
          <w:rFonts w:hint="eastAsia"/>
          <w:highlight w:val="none"/>
        </w:rPr>
      </w:pPr>
      <w:r>
        <w:rPr>
          <w:rFonts w:hint="eastAsia"/>
          <w:highlight w:val="none"/>
        </w:rPr>
        <w:t>41.1为体现“公开、公平、公正”的原则，评标结束后，将在深圳海关门户网  （</w:t>
      </w:r>
      <w:r>
        <w:rPr>
          <w:highlight w:val="none"/>
        </w:rPr>
        <w:t>http://shenzhen.customs.gov.cn</w:t>
      </w:r>
      <w:r>
        <w:rPr>
          <w:rFonts w:hint="eastAsia"/>
          <w:highlight w:val="none"/>
        </w:rPr>
        <w:t>）、采购代理机构官网：（</w:t>
      </w:r>
      <w:r>
        <w:rPr>
          <w:highlight w:val="none"/>
        </w:rPr>
        <w:t>http://www.szsszx.com/</w:t>
      </w:r>
      <w:r>
        <w:rPr>
          <w:rFonts w:hint="eastAsia"/>
          <w:highlight w:val="none"/>
        </w:rPr>
        <w:t>）上发布中标结果公告， 公示期为1个工作日。供应商如对评标结果有异议，请于公示期内，以书面的形式向我公司反映。若在公示期内未提出异议，则视为认同该评标结果。</w:t>
      </w:r>
    </w:p>
    <w:p>
      <w:pPr>
        <w:tabs>
          <w:tab w:val="clear" w:pos="426"/>
        </w:tabs>
        <w:rPr>
          <w:rFonts w:hint="eastAsia"/>
          <w:highlight w:val="none"/>
        </w:rPr>
      </w:pPr>
      <w:r>
        <w:rPr>
          <w:rFonts w:hint="eastAsia"/>
          <w:highlight w:val="none"/>
        </w:rPr>
        <w:t>41.2质疑投诉人应保证质疑投诉内容的真实性和可靠性，并承担相应的法律责任。</w:t>
      </w:r>
    </w:p>
    <w:p>
      <w:pPr>
        <w:tabs>
          <w:tab w:val="clear" w:pos="426"/>
        </w:tabs>
        <w:rPr>
          <w:rFonts w:hint="eastAsia"/>
          <w:highlight w:val="none"/>
        </w:rPr>
      </w:pPr>
      <w:r>
        <w:rPr>
          <w:rFonts w:hint="eastAsia"/>
          <w:highlight w:val="none"/>
        </w:rPr>
        <w:t>42．中标通知书</w:t>
      </w:r>
    </w:p>
    <w:p>
      <w:pPr>
        <w:tabs>
          <w:tab w:val="clear" w:pos="426"/>
        </w:tabs>
        <w:rPr>
          <w:rFonts w:hint="eastAsia"/>
          <w:highlight w:val="none"/>
        </w:rPr>
      </w:pPr>
      <w:r>
        <w:rPr>
          <w:rFonts w:hint="eastAsia"/>
          <w:highlight w:val="none"/>
        </w:rPr>
        <w:t>42</w:t>
      </w:r>
      <w:r>
        <w:rPr>
          <w:highlight w:val="none"/>
        </w:rPr>
        <w:t>.</w:t>
      </w:r>
      <w:r>
        <w:rPr>
          <w:rFonts w:hint="eastAsia"/>
          <w:highlight w:val="none"/>
        </w:rPr>
        <w:t>1中标公告公布后,公示期内无人投诉,请中标供应商凭单位证明及本人身份证到采购代理机构领取《中标通知书》。</w:t>
      </w:r>
    </w:p>
    <w:p>
      <w:pPr>
        <w:tabs>
          <w:tab w:val="clear" w:pos="426"/>
        </w:tabs>
        <w:rPr>
          <w:rFonts w:hint="eastAsia"/>
          <w:highlight w:val="none"/>
        </w:rPr>
      </w:pPr>
      <w:r>
        <w:rPr>
          <w:rFonts w:hint="eastAsia"/>
          <w:highlight w:val="none"/>
        </w:rPr>
        <w:t>42</w:t>
      </w:r>
      <w:r>
        <w:rPr>
          <w:highlight w:val="none"/>
        </w:rPr>
        <w:t>.2</w:t>
      </w:r>
      <w:r>
        <w:rPr>
          <w:rFonts w:hint="eastAsia"/>
          <w:highlight w:val="none"/>
        </w:rPr>
        <w:t>中标通知书是合同的重要组成部分。</w:t>
      </w:r>
    </w:p>
    <w:p>
      <w:pPr>
        <w:tabs>
          <w:tab w:val="clear" w:pos="426"/>
        </w:tabs>
        <w:rPr>
          <w:rFonts w:hint="eastAsia"/>
          <w:highlight w:val="none"/>
        </w:rPr>
      </w:pPr>
      <w:r>
        <w:rPr>
          <w:rFonts w:hint="eastAsia"/>
          <w:highlight w:val="none"/>
        </w:rPr>
        <w:t>42.3因质疑投诉或其它原因导致项目结果变更或采购终止的，我公司有权收回中标通知书或终止采购合同。</w:t>
      </w:r>
    </w:p>
    <w:p>
      <w:pPr>
        <w:pStyle w:val="5"/>
        <w:tabs>
          <w:tab w:val="clear" w:pos="426"/>
        </w:tabs>
        <w:rPr>
          <w:rFonts w:hint="eastAsia"/>
          <w:highlight w:val="none"/>
        </w:rPr>
      </w:pPr>
      <w:bookmarkStart w:id="169" w:name="_Toc529280588"/>
      <w:bookmarkStart w:id="170" w:name="_Toc14427261"/>
      <w:bookmarkStart w:id="171" w:name="_Toc530152529"/>
      <w:bookmarkStart w:id="172" w:name="_Toc1549"/>
      <w:r>
        <w:rPr>
          <w:rFonts w:hint="eastAsia"/>
          <w:highlight w:val="none"/>
        </w:rPr>
        <w:t>第八章 公开招标失败的后续处理</w:t>
      </w:r>
      <w:bookmarkEnd w:id="169"/>
      <w:bookmarkEnd w:id="170"/>
      <w:bookmarkEnd w:id="171"/>
      <w:bookmarkEnd w:id="172"/>
    </w:p>
    <w:p>
      <w:pPr>
        <w:rPr>
          <w:rFonts w:hAnsi="Times New Roman"/>
          <w:b/>
          <w:bCs/>
          <w:highlight w:val="none"/>
        </w:rPr>
      </w:pPr>
      <w:r>
        <w:rPr>
          <w:rFonts w:hint="eastAsia"/>
          <w:highlight w:val="none"/>
        </w:rPr>
        <w:t>43．公开招标失败的处理</w:t>
      </w:r>
      <w:r>
        <w:rPr>
          <w:rFonts w:hint="eastAsia" w:hAnsi="Times New Roman"/>
          <w:b/>
          <w:bCs/>
          <w:highlight w:val="none"/>
        </w:rPr>
        <w:t>（本项目选择方式一）</w:t>
      </w:r>
    </w:p>
    <w:p>
      <w:pPr>
        <w:rPr>
          <w:rFonts w:hAnsi="Times New Roman"/>
          <w:b/>
          <w:bCs/>
          <w:szCs w:val="21"/>
          <w:highlight w:val="none"/>
        </w:rPr>
      </w:pPr>
      <w:r>
        <w:rPr>
          <w:rFonts w:hint="eastAsia" w:hAnsi="Times New Roman"/>
          <w:b/>
          <w:bCs/>
          <w:szCs w:val="21"/>
          <w:highlight w:val="none"/>
        </w:rPr>
        <w:t>43.1方式一：公开招标的货物、服务采购项目，招标过程中提交投标文件或者经评审实质性响应招标文件要求的供应商只有两家时，经评审委员会审核采购文件无歧视性、排他性等不合理条款，可现场直接转为与该两家供应商进行竞争性谈判采购。（《深圳海关非政府采购管理办法》第二十七条）。根据《财库〔2012〕69号财政部关于进一步规范政府采购评审工作有关问题的通知》的规定，评审委员会要在采购项目招标失败时，出具招标文件是否存在不合理条款的论证意见，论证意见写进评审报告中。</w:t>
      </w:r>
    </w:p>
    <w:p>
      <w:pPr>
        <w:tabs>
          <w:tab w:val="clear" w:pos="426"/>
        </w:tabs>
        <w:rPr>
          <w:rFonts w:hint="eastAsia"/>
          <w:highlight w:val="none"/>
        </w:rPr>
      </w:pPr>
      <w:r>
        <w:rPr>
          <w:rFonts w:hint="eastAsia" w:hAnsi="Times New Roman"/>
          <w:szCs w:val="21"/>
          <w:highlight w:val="none"/>
        </w:rPr>
        <w:t>方式二：</w:t>
      </w:r>
      <w:r>
        <w:rPr>
          <w:rFonts w:hint="eastAsia"/>
          <w:szCs w:val="21"/>
          <w:highlight w:val="none"/>
        </w:rPr>
        <w:t>本项目公开招标过程中若由于投标截止后</w:t>
      </w:r>
      <w:r>
        <w:rPr>
          <w:rFonts w:hint="eastAsia"/>
          <w:highlight w:val="none"/>
        </w:rPr>
        <w:t>实际递交</w:t>
      </w:r>
      <w:r>
        <w:rPr>
          <w:highlight w:val="none"/>
        </w:rPr>
        <w:t>投标</w:t>
      </w:r>
      <w:r>
        <w:rPr>
          <w:rFonts w:hint="eastAsia"/>
          <w:highlight w:val="none"/>
        </w:rPr>
        <w:t>文件的供应商数量不足、经评标委员会评审对招标文件作实质响应的供应商不足等原因造成公开招标失败，可由采购代理机构重新组织采购。</w:t>
      </w:r>
    </w:p>
    <w:p>
      <w:pPr>
        <w:tabs>
          <w:tab w:val="clear" w:pos="426"/>
        </w:tabs>
        <w:rPr>
          <w:rFonts w:hint="eastAsia"/>
          <w:highlight w:val="none"/>
        </w:rPr>
      </w:pPr>
      <w:r>
        <w:rPr>
          <w:rFonts w:hint="eastAsia"/>
          <w:highlight w:val="none"/>
        </w:rPr>
        <w:t>43.2对公开招标失败的项目，评标委员会在出具该项目招标失败结论的同时，提出重新采购组织形式的建议，以及进一步完善招标文件的资格、技术、商务要求的修改建议。</w:t>
      </w:r>
    </w:p>
    <w:p>
      <w:pPr>
        <w:tabs>
          <w:tab w:val="clear" w:pos="426"/>
        </w:tabs>
        <w:rPr>
          <w:rFonts w:hint="eastAsia"/>
          <w:highlight w:val="none"/>
        </w:rPr>
      </w:pPr>
      <w:r>
        <w:rPr>
          <w:rFonts w:hint="eastAsia"/>
          <w:highlight w:val="none"/>
        </w:rPr>
        <w:t>43.3评审委员会要在采购项目招标失败时，出具招标文件是否存在不合理条款的论证意见，要协助采购人、采购代理机构、财政部门答复质疑或处理投诉事项。</w:t>
      </w:r>
    </w:p>
    <w:p>
      <w:pPr>
        <w:tabs>
          <w:tab w:val="clear" w:pos="426"/>
        </w:tabs>
        <w:rPr>
          <w:rFonts w:hint="eastAsia"/>
          <w:highlight w:val="none"/>
        </w:rPr>
      </w:pPr>
      <w:r>
        <w:rPr>
          <w:rFonts w:hint="eastAsia"/>
          <w:highlight w:val="none"/>
        </w:rPr>
        <w:t>43.4重新组织采购有以下两种组织形式：</w:t>
      </w:r>
    </w:p>
    <w:p>
      <w:pPr>
        <w:tabs>
          <w:tab w:val="clear" w:pos="426"/>
        </w:tabs>
        <w:rPr>
          <w:rFonts w:hint="eastAsia"/>
          <w:highlight w:val="none"/>
        </w:rPr>
      </w:pPr>
      <w:r>
        <w:rPr>
          <w:rFonts w:hint="eastAsia"/>
          <w:highlight w:val="none"/>
        </w:rPr>
        <w:t>（1）由采购代理机构重新组织公开招标；</w:t>
      </w:r>
    </w:p>
    <w:p>
      <w:pPr>
        <w:tabs>
          <w:tab w:val="clear" w:pos="426"/>
        </w:tabs>
        <w:rPr>
          <w:rFonts w:hint="eastAsia"/>
          <w:highlight w:val="none"/>
        </w:rPr>
      </w:pPr>
      <w:r>
        <w:rPr>
          <w:rFonts w:hint="eastAsia"/>
          <w:highlight w:val="none"/>
        </w:rPr>
        <w:t>（2）根据实际情况需要向相关监督管理部门提出非公开招标方式申请，经相关监督管理部门批准公开招标失败采购项目可转为竞争性谈判或单一来源谈判方式采购。</w:t>
      </w:r>
    </w:p>
    <w:p>
      <w:pPr>
        <w:tabs>
          <w:tab w:val="clear" w:pos="426"/>
        </w:tabs>
        <w:rPr>
          <w:rFonts w:hint="eastAsia"/>
          <w:highlight w:val="none"/>
        </w:rPr>
      </w:pPr>
      <w:r>
        <w:rPr>
          <w:rFonts w:hint="eastAsia"/>
          <w:highlight w:val="none"/>
        </w:rPr>
        <w:t>43.5公开招标失败的采购项目重新组织公开招标，采购代理机构要重新按公开招标流程发布采购公告和招标文件、组成评标委员会等组织采购活动。</w:t>
      </w:r>
    </w:p>
    <w:p>
      <w:pPr>
        <w:tabs>
          <w:tab w:val="clear" w:pos="426"/>
        </w:tabs>
        <w:rPr>
          <w:rFonts w:hint="eastAsia"/>
          <w:highlight w:val="none"/>
        </w:rPr>
      </w:pPr>
      <w:r>
        <w:rPr>
          <w:rFonts w:hint="eastAsia"/>
          <w:highlight w:val="none"/>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rFonts w:hint="eastAsia"/>
          <w:highlight w:val="none"/>
        </w:rPr>
      </w:pPr>
      <w:r>
        <w:rPr>
          <w:rFonts w:hint="eastAsia"/>
          <w:highlight w:val="none"/>
        </w:rPr>
        <w:t>44．公开招标失败项目转为竞争性谈判方式采购的</w:t>
      </w:r>
    </w:p>
    <w:p>
      <w:pPr>
        <w:tabs>
          <w:tab w:val="clear" w:pos="426"/>
        </w:tabs>
        <w:rPr>
          <w:rFonts w:hint="eastAsia"/>
          <w:highlight w:val="none"/>
        </w:rPr>
      </w:pPr>
      <w:r>
        <w:rPr>
          <w:rFonts w:hint="eastAsia"/>
          <w:highlight w:val="none"/>
        </w:rPr>
        <w:t>44.1谈判文件</w:t>
      </w:r>
    </w:p>
    <w:p>
      <w:pPr>
        <w:tabs>
          <w:tab w:val="clear" w:pos="426"/>
        </w:tabs>
        <w:rPr>
          <w:rFonts w:hint="eastAsia"/>
          <w:highlight w:val="none"/>
        </w:rPr>
      </w:pPr>
      <w:r>
        <w:rPr>
          <w:rFonts w:hint="eastAsia"/>
          <w:highlight w:val="none"/>
        </w:rPr>
        <w:t>44.1.1公开招标失败项目转为竞争性谈判方式采购的，原招标文件转为谈判文件。</w:t>
      </w:r>
    </w:p>
    <w:p>
      <w:pPr>
        <w:tabs>
          <w:tab w:val="clear" w:pos="426"/>
        </w:tabs>
        <w:rPr>
          <w:rFonts w:hint="eastAsia"/>
          <w:highlight w:val="none"/>
        </w:rPr>
      </w:pPr>
      <w:r>
        <w:rPr>
          <w:rFonts w:hint="eastAsia"/>
          <w:highlight w:val="none"/>
        </w:rPr>
        <w:t>44.2谈判小组</w:t>
      </w:r>
    </w:p>
    <w:p>
      <w:pPr>
        <w:tabs>
          <w:tab w:val="clear" w:pos="426"/>
        </w:tabs>
        <w:rPr>
          <w:rFonts w:hint="eastAsia"/>
          <w:highlight w:val="none"/>
        </w:rPr>
      </w:pPr>
      <w:r>
        <w:rPr>
          <w:rFonts w:hint="eastAsia"/>
          <w:highlight w:val="none"/>
        </w:rPr>
        <w:t>44.2.1公开招标失败项目转为竞争性谈判方式采购后，评标委员会转为谈判小组；专家可重新抽取也可继续采用评标委员会内专家。</w:t>
      </w:r>
    </w:p>
    <w:p>
      <w:pPr>
        <w:tabs>
          <w:tab w:val="clear" w:pos="426"/>
        </w:tabs>
        <w:rPr>
          <w:rFonts w:hint="eastAsia"/>
          <w:highlight w:val="none"/>
        </w:rPr>
      </w:pPr>
      <w:r>
        <w:rPr>
          <w:rFonts w:hint="eastAsia"/>
          <w:szCs w:val="21"/>
          <w:highlight w:val="none"/>
        </w:rPr>
        <w:t>44.2.2</w:t>
      </w:r>
      <w:r>
        <w:rPr>
          <w:rFonts w:hint="eastAsia"/>
          <w:highlight w:val="none"/>
        </w:rPr>
        <w:t>谈判前，谈判小组将对各供应商的谈判应答文件进行审查，</w:t>
      </w:r>
      <w:r>
        <w:rPr>
          <w:rFonts w:hint="eastAsia"/>
          <w:bCs/>
          <w:highlight w:val="none"/>
        </w:rPr>
        <w:t>当谈判应答文件出现下列情况之一的将视为无效，按无效标或废标处理，不得进入谈判，</w:t>
      </w:r>
      <w:r>
        <w:rPr>
          <w:rFonts w:hint="eastAsia"/>
          <w:highlight w:val="none"/>
        </w:rPr>
        <w:t>具体内容见原招标文件中“资格、符合性评审</w:t>
      </w:r>
      <w:r>
        <w:rPr>
          <w:rFonts w:hint="eastAsia"/>
          <w:bCs/>
          <w:highlight w:val="none"/>
        </w:rPr>
        <w:t>”</w:t>
      </w:r>
      <w:r>
        <w:rPr>
          <w:rFonts w:hint="eastAsia"/>
          <w:highlight w:val="none"/>
        </w:rPr>
        <w:t>部分以及谈判邀请中相应的变动部分。</w:t>
      </w:r>
    </w:p>
    <w:p>
      <w:pPr>
        <w:tabs>
          <w:tab w:val="clear" w:pos="426"/>
        </w:tabs>
        <w:rPr>
          <w:rFonts w:hint="eastAsia"/>
          <w:highlight w:val="none"/>
        </w:rPr>
      </w:pPr>
      <w:r>
        <w:rPr>
          <w:rFonts w:hint="eastAsia"/>
          <w:highlight w:val="none"/>
        </w:rPr>
        <w:t>44.3谈判程序</w:t>
      </w:r>
    </w:p>
    <w:p>
      <w:pPr>
        <w:tabs>
          <w:tab w:val="clear" w:pos="426"/>
        </w:tabs>
        <w:rPr>
          <w:rFonts w:hint="eastAsia"/>
          <w:highlight w:val="none"/>
        </w:rPr>
      </w:pPr>
      <w:r>
        <w:rPr>
          <w:rFonts w:hint="eastAsia"/>
          <w:highlight w:val="none"/>
        </w:rPr>
        <w:t>44.3.1参加谈判的供应商和谈判小组成员填写谈判登记表，并交验证明文件（法定代表人证明书、法人授权委托书、被授权的谈判代表身份证原件）。</w:t>
      </w:r>
    </w:p>
    <w:p>
      <w:pPr>
        <w:tabs>
          <w:tab w:val="clear" w:pos="426"/>
        </w:tabs>
        <w:rPr>
          <w:rFonts w:hint="eastAsia"/>
          <w:highlight w:val="none"/>
        </w:rPr>
      </w:pPr>
      <w:r>
        <w:rPr>
          <w:rFonts w:hint="eastAsia"/>
          <w:highlight w:val="none"/>
        </w:rPr>
        <w:t>44.3</w:t>
      </w:r>
      <w:r>
        <w:rPr>
          <w:highlight w:val="none"/>
        </w:rPr>
        <w:t>.2</w:t>
      </w:r>
      <w:r>
        <w:rPr>
          <w:rFonts w:hint="eastAsia"/>
          <w:highlight w:val="none"/>
        </w:rPr>
        <w:t>谈判小组主持人宣布谈判规则和谈判纪律。</w:t>
      </w:r>
    </w:p>
    <w:p>
      <w:pPr>
        <w:tabs>
          <w:tab w:val="clear" w:pos="426"/>
        </w:tabs>
        <w:rPr>
          <w:rFonts w:hint="eastAsia"/>
          <w:highlight w:val="none"/>
        </w:rPr>
      </w:pPr>
      <w:r>
        <w:rPr>
          <w:rFonts w:hint="eastAsia"/>
          <w:highlight w:val="none"/>
        </w:rPr>
        <w:t>44.3</w:t>
      </w:r>
      <w:r>
        <w:rPr>
          <w:highlight w:val="none"/>
        </w:rPr>
        <w:t>.3</w:t>
      </w:r>
      <w:r>
        <w:rPr>
          <w:rFonts w:hint="eastAsia"/>
          <w:highlight w:val="none"/>
        </w:rPr>
        <w:t>在谈判中，谈判小组将就以下谈判内容跟供应商进行谈判：</w:t>
      </w:r>
    </w:p>
    <w:p>
      <w:pPr>
        <w:tabs>
          <w:tab w:val="clear" w:pos="426"/>
        </w:tabs>
        <w:rPr>
          <w:rFonts w:hint="eastAsia"/>
          <w:highlight w:val="none"/>
        </w:rPr>
      </w:pPr>
      <w:r>
        <w:rPr>
          <w:rFonts w:hint="eastAsia"/>
          <w:highlight w:val="none"/>
        </w:rPr>
        <w:t>（</w:t>
      </w:r>
      <w:r>
        <w:rPr>
          <w:highlight w:val="none"/>
        </w:rPr>
        <w:t>1</w:t>
      </w:r>
      <w:r>
        <w:rPr>
          <w:rFonts w:hint="eastAsia"/>
          <w:highlight w:val="none"/>
        </w:rPr>
        <w:t>）项目方案；</w:t>
      </w:r>
    </w:p>
    <w:p>
      <w:pPr>
        <w:tabs>
          <w:tab w:val="clear" w:pos="426"/>
        </w:tabs>
        <w:rPr>
          <w:rFonts w:hint="eastAsia"/>
          <w:highlight w:val="none"/>
        </w:rPr>
      </w:pPr>
      <w:r>
        <w:rPr>
          <w:rFonts w:hint="eastAsia"/>
          <w:highlight w:val="none"/>
        </w:rPr>
        <w:t>（2）报价；</w:t>
      </w:r>
    </w:p>
    <w:p>
      <w:pPr>
        <w:tabs>
          <w:tab w:val="clear" w:pos="426"/>
        </w:tabs>
        <w:rPr>
          <w:rFonts w:hint="eastAsia"/>
          <w:highlight w:val="none"/>
        </w:rPr>
      </w:pPr>
      <w:r>
        <w:rPr>
          <w:rFonts w:hint="eastAsia"/>
          <w:highlight w:val="none"/>
        </w:rPr>
        <w:t>（3）其它相关事项。</w:t>
      </w:r>
    </w:p>
    <w:p>
      <w:pPr>
        <w:tabs>
          <w:tab w:val="clear" w:pos="426"/>
        </w:tabs>
        <w:rPr>
          <w:rFonts w:hint="eastAsia"/>
          <w:highlight w:val="none"/>
        </w:rPr>
      </w:pPr>
      <w:r>
        <w:rPr>
          <w:rFonts w:hint="eastAsia"/>
          <w:highlight w:val="none"/>
        </w:rPr>
        <w:t>原招标文件或谈判邀请文件有实质性变动的，谈判小组应当通过采购代理机构通知所有参加谈判的供应商。</w:t>
      </w:r>
    </w:p>
    <w:p>
      <w:pPr>
        <w:tabs>
          <w:tab w:val="clear" w:pos="426"/>
        </w:tabs>
        <w:rPr>
          <w:rFonts w:hint="eastAsia"/>
          <w:highlight w:val="none"/>
        </w:rPr>
      </w:pPr>
      <w:r>
        <w:rPr>
          <w:rFonts w:hint="eastAsia"/>
          <w:highlight w:val="none"/>
        </w:rPr>
        <w:t>44.3.4谈判小组可以用书面形式要求各供应商对其谈判应答文件含义不明确的内容作必要的澄清或者说明，重要问题供应商应以书面形式进行澄清、说明。</w:t>
      </w:r>
    </w:p>
    <w:p>
      <w:pPr>
        <w:tabs>
          <w:tab w:val="clear" w:pos="426"/>
        </w:tabs>
        <w:rPr>
          <w:rFonts w:hint="eastAsia"/>
          <w:highlight w:val="none"/>
        </w:rPr>
      </w:pPr>
      <w:r>
        <w:rPr>
          <w:rFonts w:hint="eastAsia"/>
          <w:highlight w:val="none"/>
        </w:rPr>
        <w:t>44.3</w:t>
      </w:r>
      <w:r>
        <w:rPr>
          <w:highlight w:val="none"/>
        </w:rPr>
        <w:t>.</w:t>
      </w:r>
      <w:r>
        <w:rPr>
          <w:rFonts w:hint="eastAsia"/>
          <w:highlight w:val="none"/>
        </w:rPr>
        <w:t>5 允许供应商在谈判结束之前根据谈判小组提出的内容进行澄清、修改或完善，或对项目方案进行相应的调整。</w:t>
      </w:r>
    </w:p>
    <w:p>
      <w:pPr>
        <w:tabs>
          <w:tab w:val="clear" w:pos="426"/>
        </w:tabs>
        <w:rPr>
          <w:rFonts w:hint="eastAsia"/>
          <w:highlight w:val="none"/>
        </w:rPr>
      </w:pPr>
      <w:r>
        <w:rPr>
          <w:rFonts w:hint="eastAsia"/>
          <w:highlight w:val="none"/>
        </w:rPr>
        <w:t>44.3</w:t>
      </w:r>
      <w:r>
        <w:rPr>
          <w:highlight w:val="none"/>
        </w:rPr>
        <w:t>.</w:t>
      </w:r>
      <w:r>
        <w:rPr>
          <w:rFonts w:hint="eastAsia"/>
          <w:highlight w:val="none"/>
        </w:rPr>
        <w:t>6供应商对谈判应答文件进行修改，都应形成文字材料，并经供应商谈判授权人签字认可。</w:t>
      </w:r>
    </w:p>
    <w:p>
      <w:pPr>
        <w:tabs>
          <w:tab w:val="clear" w:pos="426"/>
        </w:tabs>
        <w:rPr>
          <w:rFonts w:hint="eastAsia"/>
          <w:highlight w:val="none"/>
        </w:rPr>
      </w:pPr>
      <w:r>
        <w:rPr>
          <w:rFonts w:hint="eastAsia"/>
          <w:highlight w:val="none"/>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rFonts w:hint="eastAsia"/>
          <w:szCs w:val="21"/>
          <w:highlight w:val="none"/>
        </w:rPr>
      </w:pPr>
      <w:r>
        <w:rPr>
          <w:rFonts w:hint="eastAsia"/>
          <w:szCs w:val="21"/>
          <w:highlight w:val="none"/>
        </w:rPr>
        <w:t>44.3.8有下列情形之一的，该供应商的谈判结果</w:t>
      </w:r>
      <w:r>
        <w:rPr>
          <w:rFonts w:hint="eastAsia"/>
          <w:bCs/>
          <w:highlight w:val="none"/>
        </w:rPr>
        <w:t>按无效标或废标处理</w:t>
      </w:r>
      <w:r>
        <w:rPr>
          <w:rFonts w:hint="eastAsia"/>
          <w:szCs w:val="21"/>
          <w:highlight w:val="none"/>
        </w:rPr>
        <w:t>，</w:t>
      </w:r>
      <w:r>
        <w:rPr>
          <w:rFonts w:hint="eastAsia"/>
          <w:highlight w:val="none"/>
        </w:rPr>
        <w:t>具体内容见原招标文件中不符合“资格、符合性评审条款”部分以及谈判邀请中相应的变动部分。</w:t>
      </w:r>
    </w:p>
    <w:p>
      <w:pPr>
        <w:tabs>
          <w:tab w:val="clear" w:pos="426"/>
        </w:tabs>
        <w:rPr>
          <w:rFonts w:hint="eastAsia"/>
          <w:highlight w:val="none"/>
        </w:rPr>
      </w:pPr>
      <w:r>
        <w:rPr>
          <w:rFonts w:hint="eastAsia"/>
          <w:highlight w:val="none"/>
        </w:rPr>
        <w:t>44.3</w:t>
      </w:r>
      <w:r>
        <w:rPr>
          <w:highlight w:val="none"/>
        </w:rPr>
        <w:t>.</w:t>
      </w:r>
      <w:r>
        <w:rPr>
          <w:rFonts w:hint="eastAsia"/>
          <w:highlight w:val="none"/>
        </w:rPr>
        <w:t>9谈判结束后，谈判小组根据供应商提供的谈判应答文件、谈判过程中产生的相关资料，对供应商谈判应答文件进行评估与比较，提出书面评审意见。</w:t>
      </w:r>
    </w:p>
    <w:p>
      <w:pPr>
        <w:tabs>
          <w:tab w:val="clear" w:pos="426"/>
        </w:tabs>
        <w:rPr>
          <w:rFonts w:hint="eastAsia"/>
          <w:highlight w:val="none"/>
        </w:rPr>
      </w:pPr>
      <w:r>
        <w:rPr>
          <w:rFonts w:hint="eastAsia"/>
          <w:highlight w:val="none"/>
        </w:rPr>
        <w:t>44.3.10谈判小组将对谈判过程进行记录，以存档备查。</w:t>
      </w:r>
    </w:p>
    <w:p>
      <w:pPr>
        <w:tabs>
          <w:tab w:val="clear" w:pos="426"/>
        </w:tabs>
        <w:rPr>
          <w:rFonts w:hint="eastAsia"/>
          <w:highlight w:val="none"/>
        </w:rPr>
      </w:pPr>
      <w:r>
        <w:rPr>
          <w:rFonts w:hint="eastAsia"/>
          <w:highlight w:val="none"/>
        </w:rPr>
        <w:t>44.4评标方法和定标原则</w:t>
      </w:r>
    </w:p>
    <w:p>
      <w:pPr>
        <w:tabs>
          <w:tab w:val="clear" w:pos="426"/>
        </w:tabs>
        <w:rPr>
          <w:rFonts w:hint="eastAsia"/>
          <w:highlight w:val="none"/>
        </w:rPr>
      </w:pPr>
      <w:r>
        <w:rPr>
          <w:rFonts w:hint="eastAsia"/>
          <w:highlight w:val="none"/>
        </w:rPr>
        <w:t>44.4.1竞争性谈判采购项目的评标方法要比照最低评标价法规定执行。如确因实际情况需要采用其他评标方法的，应报经同级相关监督管理部门批准。原招标文件若采用</w:t>
      </w:r>
      <w:r>
        <w:rPr>
          <w:rFonts w:hint="eastAsia"/>
          <w:bCs/>
          <w:highlight w:val="none"/>
        </w:rPr>
        <w:t>最低评标价法以外的评标方法，转为竞争性谈判后，评标方法应采用</w:t>
      </w:r>
      <w:r>
        <w:rPr>
          <w:rFonts w:hint="eastAsia"/>
          <w:highlight w:val="none"/>
        </w:rPr>
        <w:t>最低评标价法。</w:t>
      </w:r>
    </w:p>
    <w:p>
      <w:pPr>
        <w:tabs>
          <w:tab w:val="clear" w:pos="426"/>
        </w:tabs>
        <w:rPr>
          <w:rFonts w:hint="eastAsia"/>
          <w:highlight w:val="none"/>
        </w:rPr>
      </w:pPr>
      <w:r>
        <w:rPr>
          <w:rFonts w:hint="eastAsia"/>
          <w:szCs w:val="21"/>
          <w:highlight w:val="none"/>
        </w:rPr>
        <w:t>44.4.2对公开招标失败转为竞争性谈判方式采购的项目，谈判小组</w:t>
      </w:r>
      <w:r>
        <w:rPr>
          <w:rFonts w:hint="eastAsia"/>
          <w:highlight w:val="none"/>
        </w:rPr>
        <w:t>对谈判应答文件进行评审和比较，综合各家供应商最终的方案、服务和投资等谈判结果并按本通用条款第</w:t>
      </w:r>
      <w:r>
        <w:rPr>
          <w:rFonts w:hint="eastAsia"/>
          <w:bCs/>
          <w:szCs w:val="21"/>
          <w:highlight w:val="none"/>
        </w:rPr>
        <w:t>37.1.1款</w:t>
      </w:r>
      <w:r>
        <w:rPr>
          <w:rFonts w:hint="eastAsia"/>
          <w:highlight w:val="none"/>
        </w:rPr>
        <w:t>的</w:t>
      </w:r>
      <w:r>
        <w:rPr>
          <w:rFonts w:hint="eastAsia"/>
          <w:bCs/>
          <w:highlight w:val="none"/>
        </w:rPr>
        <w:t>最低评标价法</w:t>
      </w:r>
      <w:r>
        <w:rPr>
          <w:rFonts w:hint="eastAsia"/>
          <w:highlight w:val="none"/>
        </w:rPr>
        <w:t>进行评审。</w:t>
      </w:r>
    </w:p>
    <w:p>
      <w:pPr>
        <w:tabs>
          <w:tab w:val="clear" w:pos="426"/>
        </w:tabs>
        <w:rPr>
          <w:rFonts w:hint="eastAsia"/>
          <w:highlight w:val="none"/>
        </w:rPr>
      </w:pPr>
      <w:r>
        <w:rPr>
          <w:rFonts w:hint="eastAsia"/>
          <w:highlight w:val="none"/>
        </w:rPr>
        <w:t>44.4.3若要采用其他评标方法的，必须报经相关监督管理部门批准，谈判小组按批准的评标方法进行评审。谈判邀请文件中应注明批准的评标方法。</w:t>
      </w:r>
    </w:p>
    <w:p>
      <w:pPr>
        <w:tabs>
          <w:tab w:val="clear" w:pos="426"/>
        </w:tabs>
        <w:rPr>
          <w:rFonts w:hint="eastAsia"/>
          <w:highlight w:val="none"/>
        </w:rPr>
      </w:pPr>
      <w:r>
        <w:rPr>
          <w:rFonts w:hint="eastAsia"/>
          <w:highlight w:val="none"/>
        </w:rPr>
        <w:t>44.4.4谈判小组向采购代理机构提交书面评标报告，并推荐中标候选人或确定中标供应商。</w:t>
      </w:r>
    </w:p>
    <w:p>
      <w:pPr>
        <w:tabs>
          <w:tab w:val="clear" w:pos="426"/>
        </w:tabs>
        <w:rPr>
          <w:rFonts w:hint="eastAsia"/>
          <w:highlight w:val="none"/>
        </w:rPr>
      </w:pPr>
      <w:r>
        <w:rPr>
          <w:rFonts w:hint="eastAsia"/>
          <w:highlight w:val="none"/>
        </w:rPr>
        <w:t>45．公开招标失败项目转为单一来源谈判方式采购</w:t>
      </w:r>
    </w:p>
    <w:p>
      <w:pPr>
        <w:tabs>
          <w:tab w:val="clear" w:pos="426"/>
        </w:tabs>
        <w:rPr>
          <w:rFonts w:hint="eastAsia"/>
          <w:highlight w:val="none"/>
        </w:rPr>
      </w:pPr>
      <w:r>
        <w:rPr>
          <w:rFonts w:hint="eastAsia"/>
          <w:highlight w:val="none"/>
        </w:rPr>
        <w:t>45.1谈判文件</w:t>
      </w:r>
    </w:p>
    <w:p>
      <w:pPr>
        <w:tabs>
          <w:tab w:val="clear" w:pos="426"/>
        </w:tabs>
        <w:rPr>
          <w:rFonts w:hint="eastAsia"/>
          <w:highlight w:val="none"/>
        </w:rPr>
      </w:pPr>
      <w:r>
        <w:rPr>
          <w:rFonts w:hint="eastAsia"/>
          <w:highlight w:val="none"/>
        </w:rPr>
        <w:t>45.1.1公开招标失败项目转为单一来源谈判方式采购的，原招标文件转为谈判文件。</w:t>
      </w:r>
    </w:p>
    <w:p>
      <w:pPr>
        <w:tabs>
          <w:tab w:val="clear" w:pos="426"/>
        </w:tabs>
        <w:rPr>
          <w:rFonts w:hint="eastAsia"/>
          <w:highlight w:val="none"/>
        </w:rPr>
      </w:pPr>
      <w:r>
        <w:rPr>
          <w:rFonts w:hint="eastAsia"/>
          <w:highlight w:val="none"/>
        </w:rPr>
        <w:t>45.2谈判小组</w:t>
      </w:r>
    </w:p>
    <w:p>
      <w:pPr>
        <w:tabs>
          <w:tab w:val="clear" w:pos="426"/>
        </w:tabs>
        <w:rPr>
          <w:rFonts w:hint="eastAsia"/>
          <w:highlight w:val="none"/>
        </w:rPr>
      </w:pPr>
      <w:r>
        <w:rPr>
          <w:rFonts w:hint="eastAsia"/>
          <w:highlight w:val="none"/>
        </w:rPr>
        <w:t>45.2.1公开招标失败项目转为单一来源谈判方式采购后，评标委员会转为谈判小组，专家可重新抽取也可继续采用评标委员会内专家。</w:t>
      </w:r>
    </w:p>
    <w:p>
      <w:pPr>
        <w:tabs>
          <w:tab w:val="clear" w:pos="426"/>
        </w:tabs>
        <w:rPr>
          <w:rFonts w:hint="eastAsia"/>
          <w:highlight w:val="none"/>
        </w:rPr>
      </w:pPr>
      <w:r>
        <w:rPr>
          <w:rFonts w:hint="eastAsia"/>
          <w:szCs w:val="21"/>
          <w:highlight w:val="none"/>
        </w:rPr>
        <w:t>45.2.2</w:t>
      </w:r>
      <w:r>
        <w:rPr>
          <w:rFonts w:hint="eastAsia"/>
          <w:highlight w:val="none"/>
        </w:rPr>
        <w:t>谈判前，谈判小组将对单一来源供应商的谈判应答文件进行审查，</w:t>
      </w:r>
      <w:r>
        <w:rPr>
          <w:rFonts w:hint="eastAsia"/>
          <w:bCs/>
          <w:highlight w:val="none"/>
        </w:rPr>
        <w:t>当谈判应答文件出现下列情况之一的将视为无效，按无效标或废标处理，不得进入谈判，</w:t>
      </w:r>
      <w:r>
        <w:rPr>
          <w:rFonts w:hint="eastAsia"/>
          <w:highlight w:val="none"/>
        </w:rPr>
        <w:t>具体内容见原招标文件中“资格、符合性评审条款</w:t>
      </w:r>
      <w:r>
        <w:rPr>
          <w:rFonts w:hint="eastAsia"/>
          <w:bCs/>
          <w:highlight w:val="none"/>
        </w:rPr>
        <w:t>”</w:t>
      </w:r>
      <w:r>
        <w:rPr>
          <w:rFonts w:hint="eastAsia"/>
          <w:highlight w:val="none"/>
        </w:rPr>
        <w:t>部分以及谈判邀请中相应的变动部分。</w:t>
      </w:r>
    </w:p>
    <w:p>
      <w:pPr>
        <w:tabs>
          <w:tab w:val="clear" w:pos="426"/>
        </w:tabs>
        <w:rPr>
          <w:rFonts w:hint="eastAsia"/>
          <w:highlight w:val="none"/>
        </w:rPr>
      </w:pPr>
      <w:r>
        <w:rPr>
          <w:rFonts w:hint="eastAsia"/>
          <w:highlight w:val="none"/>
        </w:rPr>
        <w:t>45.3谈判程序</w:t>
      </w:r>
    </w:p>
    <w:p>
      <w:pPr>
        <w:tabs>
          <w:tab w:val="clear" w:pos="426"/>
        </w:tabs>
        <w:rPr>
          <w:rFonts w:hint="eastAsia"/>
          <w:highlight w:val="none"/>
        </w:rPr>
      </w:pPr>
      <w:r>
        <w:rPr>
          <w:rFonts w:hint="eastAsia"/>
          <w:highlight w:val="none"/>
        </w:rPr>
        <w:t>45.3.1参加谈判的供应商和谈判小组成员填写谈判登记表，并交验证明文件（法定代表人证明书、法人授权委托书、被授权的谈判代表身份证原件）。</w:t>
      </w:r>
    </w:p>
    <w:p>
      <w:pPr>
        <w:tabs>
          <w:tab w:val="clear" w:pos="426"/>
        </w:tabs>
        <w:rPr>
          <w:rFonts w:hint="eastAsia"/>
          <w:highlight w:val="none"/>
        </w:rPr>
      </w:pPr>
      <w:r>
        <w:rPr>
          <w:rFonts w:hint="eastAsia"/>
          <w:highlight w:val="none"/>
        </w:rPr>
        <w:t>45.3</w:t>
      </w:r>
      <w:r>
        <w:rPr>
          <w:highlight w:val="none"/>
        </w:rPr>
        <w:t>.2</w:t>
      </w:r>
      <w:r>
        <w:rPr>
          <w:rFonts w:hint="eastAsia"/>
          <w:highlight w:val="none"/>
        </w:rPr>
        <w:t>谈判小组主持人宣布谈判规则和谈判纪律。</w:t>
      </w:r>
    </w:p>
    <w:p>
      <w:pPr>
        <w:tabs>
          <w:tab w:val="clear" w:pos="426"/>
        </w:tabs>
        <w:rPr>
          <w:rFonts w:hint="eastAsia"/>
          <w:highlight w:val="none"/>
        </w:rPr>
      </w:pPr>
      <w:r>
        <w:rPr>
          <w:rFonts w:hint="eastAsia"/>
          <w:highlight w:val="none"/>
        </w:rPr>
        <w:t>45.3</w:t>
      </w:r>
      <w:r>
        <w:rPr>
          <w:highlight w:val="none"/>
        </w:rPr>
        <w:t>.3</w:t>
      </w:r>
      <w:r>
        <w:rPr>
          <w:rFonts w:hint="eastAsia"/>
          <w:highlight w:val="none"/>
        </w:rPr>
        <w:t>在谈判中，谈判小组将就以下谈判内容跟供应商进行谈判：</w:t>
      </w:r>
    </w:p>
    <w:p>
      <w:pPr>
        <w:tabs>
          <w:tab w:val="clear" w:pos="426"/>
        </w:tabs>
        <w:rPr>
          <w:rFonts w:hint="eastAsia"/>
          <w:highlight w:val="none"/>
        </w:rPr>
      </w:pPr>
      <w:r>
        <w:rPr>
          <w:rFonts w:hint="eastAsia"/>
          <w:highlight w:val="none"/>
        </w:rPr>
        <w:t>（</w:t>
      </w:r>
      <w:r>
        <w:rPr>
          <w:highlight w:val="none"/>
        </w:rPr>
        <w:t>1</w:t>
      </w:r>
      <w:r>
        <w:rPr>
          <w:rFonts w:hint="eastAsia"/>
          <w:highlight w:val="none"/>
        </w:rPr>
        <w:t>）项目方案；</w:t>
      </w:r>
    </w:p>
    <w:p>
      <w:pPr>
        <w:tabs>
          <w:tab w:val="clear" w:pos="426"/>
        </w:tabs>
        <w:rPr>
          <w:rFonts w:hint="eastAsia"/>
          <w:highlight w:val="none"/>
        </w:rPr>
      </w:pPr>
      <w:r>
        <w:rPr>
          <w:rFonts w:hint="eastAsia"/>
          <w:highlight w:val="none"/>
        </w:rPr>
        <w:t>（2）报价；</w:t>
      </w:r>
    </w:p>
    <w:p>
      <w:pPr>
        <w:tabs>
          <w:tab w:val="clear" w:pos="426"/>
        </w:tabs>
        <w:rPr>
          <w:rFonts w:hint="eastAsia"/>
          <w:highlight w:val="none"/>
        </w:rPr>
      </w:pPr>
      <w:r>
        <w:rPr>
          <w:rFonts w:hint="eastAsia"/>
          <w:highlight w:val="none"/>
        </w:rPr>
        <w:t>（3）其它相关事项。</w:t>
      </w:r>
    </w:p>
    <w:p>
      <w:pPr>
        <w:tabs>
          <w:tab w:val="clear" w:pos="426"/>
        </w:tabs>
        <w:rPr>
          <w:rFonts w:hint="eastAsia"/>
          <w:highlight w:val="none"/>
        </w:rPr>
      </w:pPr>
      <w:r>
        <w:rPr>
          <w:rFonts w:hint="eastAsia"/>
          <w:highlight w:val="none"/>
        </w:rPr>
        <w:t>原招标文件或谈判邀请文件有实质性变动的，谈判小组应当通过采购代理机构通知供应商。</w:t>
      </w:r>
    </w:p>
    <w:p>
      <w:pPr>
        <w:tabs>
          <w:tab w:val="clear" w:pos="426"/>
        </w:tabs>
        <w:rPr>
          <w:rFonts w:hint="eastAsia"/>
          <w:highlight w:val="none"/>
        </w:rPr>
      </w:pPr>
      <w:r>
        <w:rPr>
          <w:rFonts w:hint="eastAsia"/>
          <w:highlight w:val="none"/>
        </w:rPr>
        <w:t>45.3.4谈判小组可以用书面形式要求供应商对其谈判应答文件含义不明确的内容作必要的澄清或者说明，重要问题供应商应以书面形式进行澄清、说明。</w:t>
      </w:r>
    </w:p>
    <w:p>
      <w:pPr>
        <w:tabs>
          <w:tab w:val="clear" w:pos="426"/>
        </w:tabs>
        <w:rPr>
          <w:rFonts w:hint="eastAsia"/>
          <w:highlight w:val="none"/>
        </w:rPr>
      </w:pPr>
      <w:r>
        <w:rPr>
          <w:rFonts w:hint="eastAsia"/>
          <w:highlight w:val="none"/>
        </w:rPr>
        <w:t>45.3</w:t>
      </w:r>
      <w:r>
        <w:rPr>
          <w:highlight w:val="none"/>
        </w:rPr>
        <w:t>.</w:t>
      </w:r>
      <w:r>
        <w:rPr>
          <w:rFonts w:hint="eastAsia"/>
          <w:highlight w:val="none"/>
        </w:rPr>
        <w:t>5 允许供应商在谈判结束之前根据谈判小组提出的内容进行澄清、修改或完善，或对项目方案进行相应的调整。</w:t>
      </w:r>
    </w:p>
    <w:p>
      <w:pPr>
        <w:tabs>
          <w:tab w:val="clear" w:pos="426"/>
        </w:tabs>
        <w:rPr>
          <w:rFonts w:hint="eastAsia"/>
          <w:highlight w:val="none"/>
        </w:rPr>
      </w:pPr>
      <w:r>
        <w:rPr>
          <w:rFonts w:hint="eastAsia"/>
          <w:highlight w:val="none"/>
        </w:rPr>
        <w:t>45.3</w:t>
      </w:r>
      <w:r>
        <w:rPr>
          <w:highlight w:val="none"/>
        </w:rPr>
        <w:t>.</w:t>
      </w:r>
      <w:r>
        <w:rPr>
          <w:rFonts w:hint="eastAsia"/>
          <w:highlight w:val="none"/>
        </w:rPr>
        <w:t>6供应商对谈判应答文件进行修改，都应形成文字材料，并经供应商谈判授权人签字认可。</w:t>
      </w:r>
    </w:p>
    <w:p>
      <w:pPr>
        <w:tabs>
          <w:tab w:val="clear" w:pos="426"/>
        </w:tabs>
        <w:rPr>
          <w:rFonts w:hint="eastAsia"/>
          <w:highlight w:val="none"/>
        </w:rPr>
      </w:pPr>
      <w:r>
        <w:rPr>
          <w:rFonts w:hint="eastAsia"/>
          <w:highlight w:val="none"/>
        </w:rPr>
        <w:t>45.3.7谈判小组与单一来源供应商进行谈判。供应商有两次更改机会；供应商应在规定的时间内提出最后更改及书面承诺。</w:t>
      </w:r>
    </w:p>
    <w:p>
      <w:pPr>
        <w:tabs>
          <w:tab w:val="clear" w:pos="426"/>
        </w:tabs>
        <w:rPr>
          <w:rFonts w:hint="eastAsia"/>
          <w:szCs w:val="21"/>
          <w:highlight w:val="none"/>
        </w:rPr>
      </w:pPr>
      <w:r>
        <w:rPr>
          <w:rFonts w:hint="eastAsia"/>
          <w:szCs w:val="21"/>
          <w:highlight w:val="none"/>
        </w:rPr>
        <w:t>45.3.8有下列情形之一的，供应商的谈判结果作废标处理，</w:t>
      </w:r>
      <w:r>
        <w:rPr>
          <w:rFonts w:hint="eastAsia"/>
          <w:highlight w:val="none"/>
        </w:rPr>
        <w:t>具体内容见原招标文件中不符合“资格、符合性评审条款”部分以及谈判邀请中相应的变动部分。</w:t>
      </w:r>
    </w:p>
    <w:p>
      <w:pPr>
        <w:tabs>
          <w:tab w:val="clear" w:pos="426"/>
        </w:tabs>
        <w:rPr>
          <w:rFonts w:hint="eastAsia"/>
          <w:highlight w:val="none"/>
        </w:rPr>
      </w:pPr>
      <w:r>
        <w:rPr>
          <w:rFonts w:hint="eastAsia"/>
          <w:highlight w:val="none"/>
        </w:rPr>
        <w:t>45.3</w:t>
      </w:r>
      <w:r>
        <w:rPr>
          <w:highlight w:val="none"/>
        </w:rPr>
        <w:t>.</w:t>
      </w:r>
      <w:r>
        <w:rPr>
          <w:rFonts w:hint="eastAsia"/>
          <w:highlight w:val="none"/>
        </w:rPr>
        <w:t>9谈判结束后，谈判小组根据供应商提供的谈判应答文件、谈判过程中产生的相关资料，对供应商谈判应答文件进行评估与比较，提出书面评审意见。</w:t>
      </w:r>
    </w:p>
    <w:p>
      <w:pPr>
        <w:tabs>
          <w:tab w:val="clear" w:pos="426"/>
        </w:tabs>
        <w:rPr>
          <w:rFonts w:hint="eastAsia"/>
          <w:highlight w:val="none"/>
        </w:rPr>
      </w:pPr>
      <w:r>
        <w:rPr>
          <w:rFonts w:hint="eastAsia"/>
          <w:highlight w:val="none"/>
        </w:rPr>
        <w:t>45.3.10谈判小组将对谈判过程进行记录，以存档备查。</w:t>
      </w:r>
    </w:p>
    <w:p>
      <w:pPr>
        <w:tabs>
          <w:tab w:val="clear" w:pos="426"/>
        </w:tabs>
        <w:rPr>
          <w:rFonts w:hint="eastAsia"/>
          <w:highlight w:val="none"/>
        </w:rPr>
      </w:pPr>
      <w:r>
        <w:rPr>
          <w:rFonts w:hint="eastAsia"/>
          <w:highlight w:val="none"/>
        </w:rPr>
        <w:t>45.4评标方法和定标原则</w:t>
      </w:r>
    </w:p>
    <w:p>
      <w:pPr>
        <w:tabs>
          <w:tab w:val="clear" w:pos="426"/>
        </w:tabs>
        <w:rPr>
          <w:rFonts w:hint="eastAsia"/>
          <w:highlight w:val="none"/>
        </w:rPr>
      </w:pPr>
      <w:r>
        <w:rPr>
          <w:rFonts w:hint="eastAsia"/>
          <w:szCs w:val="21"/>
          <w:highlight w:val="none"/>
        </w:rPr>
        <w:t>45.4.1单一来源谈判采用最低评标价法。</w:t>
      </w:r>
      <w:r>
        <w:rPr>
          <w:rFonts w:hint="eastAsia"/>
          <w:highlight w:val="none"/>
        </w:rPr>
        <w:t>原招标文件若采用</w:t>
      </w:r>
      <w:r>
        <w:rPr>
          <w:rFonts w:hint="eastAsia"/>
          <w:bCs/>
          <w:highlight w:val="none"/>
        </w:rPr>
        <w:t>最低评标价法以外的评标方法，转为单一来源谈判后，评标方法改为</w:t>
      </w:r>
      <w:r>
        <w:rPr>
          <w:rFonts w:hint="eastAsia"/>
          <w:szCs w:val="21"/>
          <w:highlight w:val="none"/>
        </w:rPr>
        <w:t>最低评标价法。谈判小组</w:t>
      </w:r>
      <w:r>
        <w:rPr>
          <w:rFonts w:hint="eastAsia"/>
          <w:highlight w:val="none"/>
        </w:rPr>
        <w:t>对谈判应答文件进行评审和比较，对供应商最终的方案、服务和投资等谈判结果按本通用条款第37.1.1的</w:t>
      </w:r>
      <w:r>
        <w:rPr>
          <w:rFonts w:hint="eastAsia"/>
          <w:bCs/>
          <w:highlight w:val="none"/>
        </w:rPr>
        <w:t>最低评标价法</w:t>
      </w:r>
      <w:r>
        <w:rPr>
          <w:rFonts w:hint="eastAsia"/>
          <w:highlight w:val="none"/>
        </w:rPr>
        <w:t>进行评审。</w:t>
      </w:r>
    </w:p>
    <w:p>
      <w:pPr>
        <w:tabs>
          <w:tab w:val="clear" w:pos="426"/>
        </w:tabs>
        <w:rPr>
          <w:rFonts w:hint="eastAsia"/>
          <w:szCs w:val="21"/>
          <w:highlight w:val="none"/>
        </w:rPr>
      </w:pPr>
      <w:r>
        <w:rPr>
          <w:rFonts w:hint="eastAsia"/>
          <w:highlight w:val="none"/>
        </w:rPr>
        <w:t>45.4.2谈判小组向采购代理机构提交书面评标报告，并推荐中标候选人或确定中标供应商。</w:t>
      </w:r>
    </w:p>
    <w:p>
      <w:pPr>
        <w:pStyle w:val="5"/>
        <w:tabs>
          <w:tab w:val="clear" w:pos="426"/>
        </w:tabs>
        <w:rPr>
          <w:rFonts w:hint="eastAsia"/>
          <w:sz w:val="28"/>
          <w:szCs w:val="28"/>
          <w:highlight w:val="none"/>
        </w:rPr>
      </w:pPr>
      <w:bookmarkStart w:id="173" w:name="_Toc14427262"/>
      <w:bookmarkStart w:id="174" w:name="_Toc27804"/>
      <w:bookmarkStart w:id="175" w:name="_Toc530152530"/>
      <w:bookmarkStart w:id="176" w:name="_Toc529280589"/>
      <w:r>
        <w:rPr>
          <w:rFonts w:hint="eastAsia"/>
          <w:highlight w:val="none"/>
        </w:rPr>
        <w:t>第九章 合同的授予与备案</w:t>
      </w:r>
      <w:bookmarkEnd w:id="173"/>
      <w:bookmarkEnd w:id="174"/>
      <w:bookmarkEnd w:id="175"/>
      <w:bookmarkEnd w:id="176"/>
    </w:p>
    <w:p>
      <w:pPr>
        <w:tabs>
          <w:tab w:val="clear" w:pos="426"/>
        </w:tabs>
        <w:rPr>
          <w:rFonts w:hint="eastAsia"/>
          <w:highlight w:val="none"/>
        </w:rPr>
      </w:pPr>
      <w:r>
        <w:rPr>
          <w:rFonts w:hint="eastAsia"/>
          <w:highlight w:val="none"/>
        </w:rPr>
        <w:t>46．  履约担保</w:t>
      </w:r>
    </w:p>
    <w:p>
      <w:pPr>
        <w:tabs>
          <w:tab w:val="clear" w:pos="426"/>
        </w:tabs>
        <w:rPr>
          <w:rFonts w:hint="eastAsia"/>
          <w:highlight w:val="none"/>
        </w:rPr>
      </w:pPr>
      <w:r>
        <w:rPr>
          <w:rFonts w:hint="eastAsia"/>
          <w:highlight w:val="none"/>
        </w:rPr>
        <w:t>46.1  本项目履约担保的相关要求：详见“投标须知前附表”。</w:t>
      </w:r>
    </w:p>
    <w:p>
      <w:pPr>
        <w:tabs>
          <w:tab w:val="clear" w:pos="426"/>
        </w:tabs>
        <w:rPr>
          <w:rFonts w:hint="eastAsia"/>
          <w:highlight w:val="none"/>
        </w:rPr>
      </w:pPr>
      <w:r>
        <w:rPr>
          <w:rFonts w:hint="eastAsia"/>
          <w:highlight w:val="none"/>
        </w:rPr>
        <w:t>46.2  在签订合同前，中标供应商应按规定向采购人提交履约担保，采用履约保函形式的可参照使用本招标文件提供的格式。</w:t>
      </w:r>
    </w:p>
    <w:p>
      <w:pPr>
        <w:tabs>
          <w:tab w:val="clear" w:pos="426"/>
        </w:tabs>
        <w:rPr>
          <w:rFonts w:hint="eastAsia"/>
          <w:highlight w:val="none"/>
        </w:rPr>
      </w:pPr>
      <w:r>
        <w:rPr>
          <w:rFonts w:hint="eastAsia"/>
          <w:highlight w:val="none"/>
        </w:rPr>
        <w:t>46.3  联合体中标的，其履约担保由联合体牵头人提交，并应符合本节第42.1条、第45.2条的规定。</w:t>
      </w:r>
    </w:p>
    <w:p>
      <w:pPr>
        <w:tabs>
          <w:tab w:val="clear" w:pos="426"/>
        </w:tabs>
        <w:rPr>
          <w:rFonts w:hint="eastAsia"/>
          <w:highlight w:val="none"/>
        </w:rPr>
      </w:pPr>
      <w:r>
        <w:rPr>
          <w:rFonts w:hint="eastAsia"/>
          <w:highlight w:val="none"/>
        </w:rPr>
        <w:t>46.4  如果中标供应商拒不提交本节第42.1条、第42.2条要求的履约担保的，采购人可取消其中标资格，并没收其投标担保。</w:t>
      </w:r>
    </w:p>
    <w:p>
      <w:pPr>
        <w:tabs>
          <w:tab w:val="clear" w:pos="426"/>
        </w:tabs>
        <w:rPr>
          <w:rFonts w:hint="eastAsia"/>
          <w:highlight w:val="none"/>
        </w:rPr>
      </w:pPr>
      <w:r>
        <w:rPr>
          <w:rFonts w:hint="eastAsia"/>
          <w:highlight w:val="none"/>
        </w:rPr>
        <w:t>47．  签订合同</w:t>
      </w:r>
    </w:p>
    <w:p>
      <w:pPr>
        <w:tabs>
          <w:tab w:val="clear" w:pos="426"/>
        </w:tabs>
        <w:rPr>
          <w:rFonts w:hint="eastAsia"/>
          <w:highlight w:val="none"/>
        </w:rPr>
      </w:pPr>
      <w:r>
        <w:rPr>
          <w:rFonts w:hint="eastAsia"/>
          <w:highlight w:val="none"/>
        </w:rPr>
        <w:t>47.1  采购人和中标供应商应当按“投标须知前附表”的规定，依据招标文件和中标供应商的投标文件订立书面合同。</w:t>
      </w:r>
    </w:p>
    <w:p>
      <w:pPr>
        <w:tabs>
          <w:tab w:val="clear" w:pos="426"/>
        </w:tabs>
        <w:rPr>
          <w:rFonts w:hint="eastAsia"/>
          <w:highlight w:val="none"/>
        </w:rPr>
      </w:pPr>
      <w:r>
        <w:rPr>
          <w:rFonts w:hint="eastAsia"/>
          <w:highlight w:val="none"/>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rPr>
          <w:rFonts w:hint="eastAsia"/>
          <w:highlight w:val="none"/>
        </w:rPr>
      </w:pPr>
      <w:bookmarkStart w:id="177" w:name="_Toc4334"/>
      <w:bookmarkStart w:id="178" w:name="_Toc529280590"/>
      <w:bookmarkStart w:id="179" w:name="_Toc530152531"/>
      <w:bookmarkStart w:id="180" w:name="_Toc14427263"/>
      <w:r>
        <w:rPr>
          <w:rFonts w:hint="eastAsia"/>
          <w:highlight w:val="none"/>
        </w:rPr>
        <w:t>第十章 质疑受理</w:t>
      </w:r>
      <w:bookmarkEnd w:id="177"/>
      <w:bookmarkEnd w:id="178"/>
      <w:bookmarkEnd w:id="179"/>
      <w:bookmarkEnd w:id="180"/>
    </w:p>
    <w:p>
      <w:pPr>
        <w:tabs>
          <w:tab w:val="clear" w:pos="426"/>
        </w:tabs>
        <w:rPr>
          <w:rFonts w:hint="eastAsia"/>
          <w:highlight w:val="none"/>
        </w:rPr>
      </w:pPr>
      <w:r>
        <w:rPr>
          <w:rFonts w:hint="eastAsia"/>
          <w:highlight w:val="none"/>
        </w:rPr>
        <w:t>48.质疑受理机构</w:t>
      </w:r>
    </w:p>
    <w:p>
      <w:pPr>
        <w:tabs>
          <w:tab w:val="clear" w:pos="426"/>
        </w:tabs>
        <w:rPr>
          <w:rFonts w:hint="eastAsia"/>
          <w:sz w:val="22"/>
          <w:szCs w:val="22"/>
          <w:highlight w:val="none"/>
        </w:rPr>
      </w:pPr>
      <w:r>
        <w:rPr>
          <w:rFonts w:hint="eastAsia"/>
          <w:highlight w:val="none"/>
        </w:rPr>
        <w:t>采购代理机构及采购人</w:t>
      </w:r>
      <w:r>
        <w:rPr>
          <w:highlight w:val="none"/>
        </w:rPr>
        <w:t>负责受理和答复质疑</w:t>
      </w:r>
      <w:r>
        <w:rPr>
          <w:sz w:val="22"/>
          <w:szCs w:val="22"/>
          <w:highlight w:val="none"/>
        </w:rPr>
        <w:t>。</w:t>
      </w:r>
    </w:p>
    <w:p>
      <w:pPr>
        <w:tabs>
          <w:tab w:val="clear" w:pos="426"/>
        </w:tabs>
        <w:rPr>
          <w:rFonts w:hint="eastAsia"/>
          <w:highlight w:val="none"/>
        </w:rPr>
      </w:pPr>
      <w:r>
        <w:rPr>
          <w:rFonts w:hint="eastAsia"/>
          <w:highlight w:val="none"/>
        </w:rPr>
        <w:t>49.质疑处理原则</w:t>
      </w:r>
    </w:p>
    <w:p>
      <w:pPr>
        <w:tabs>
          <w:tab w:val="clear" w:pos="426"/>
        </w:tabs>
        <w:rPr>
          <w:rFonts w:hint="eastAsia"/>
          <w:highlight w:val="none"/>
        </w:rPr>
      </w:pPr>
      <w:r>
        <w:rPr>
          <w:rFonts w:hint="eastAsia"/>
          <w:highlight w:val="none"/>
        </w:rPr>
        <w:t>49.1</w:t>
      </w:r>
      <w:r>
        <w:rPr>
          <w:highlight w:val="none"/>
        </w:rPr>
        <w:t>质疑处理遵循公平、公正、规范、高效的原则。</w:t>
      </w:r>
    </w:p>
    <w:p>
      <w:pPr>
        <w:tabs>
          <w:tab w:val="clear" w:pos="426"/>
        </w:tabs>
        <w:rPr>
          <w:rFonts w:hint="eastAsia"/>
          <w:highlight w:val="none"/>
        </w:rPr>
      </w:pPr>
      <w:r>
        <w:rPr>
          <w:rFonts w:hint="eastAsia"/>
          <w:highlight w:val="none"/>
        </w:rPr>
        <w:t>49.2</w:t>
      </w:r>
      <w:r>
        <w:rPr>
          <w:highlight w:val="none"/>
        </w:rPr>
        <w:t>供应商质疑实行实名制和“谁质疑，谁举证”的原则，质疑应有具体的事项及事实根据。</w:t>
      </w:r>
    </w:p>
    <w:p>
      <w:pPr>
        <w:tabs>
          <w:tab w:val="clear" w:pos="426"/>
        </w:tabs>
        <w:rPr>
          <w:rFonts w:hint="eastAsia"/>
          <w:highlight w:val="none"/>
        </w:rPr>
      </w:pPr>
      <w:r>
        <w:rPr>
          <w:rFonts w:hint="eastAsia"/>
          <w:highlight w:val="none"/>
        </w:rPr>
        <w:t>50.质疑受理的时效和范围</w:t>
      </w:r>
    </w:p>
    <w:p>
      <w:pPr>
        <w:tabs>
          <w:tab w:val="clear" w:pos="426"/>
        </w:tabs>
        <w:rPr>
          <w:rFonts w:hint="eastAsia"/>
          <w:highlight w:val="none"/>
        </w:rPr>
      </w:pPr>
      <w:r>
        <w:rPr>
          <w:rFonts w:hint="eastAsia"/>
          <w:highlight w:val="none"/>
        </w:rPr>
        <w:t>50.1供应商认为采购文件、采购过程和中标、成交结果使自己权益受到损害的，可以在知道或者应知其权益受到损害之日起7个工作日内，以书面形式向采购代理机构提出质疑。</w:t>
      </w:r>
    </w:p>
    <w:p>
      <w:pPr>
        <w:tabs>
          <w:tab w:val="clear" w:pos="426"/>
        </w:tabs>
        <w:rPr>
          <w:rFonts w:hint="eastAsia"/>
          <w:highlight w:val="none"/>
        </w:rPr>
      </w:pPr>
      <w:r>
        <w:rPr>
          <w:rFonts w:hint="eastAsia"/>
          <w:highlight w:val="none"/>
        </w:rPr>
        <w:t>50.2供应商对采购文件有疑问的，采购代理机构及采购人按答疑程序处理；供应商对采购文件有异议的，按质疑程序处理。</w:t>
      </w:r>
    </w:p>
    <w:p>
      <w:pPr>
        <w:tabs>
          <w:tab w:val="clear" w:pos="426"/>
        </w:tabs>
        <w:rPr>
          <w:rFonts w:hint="eastAsia"/>
          <w:highlight w:val="none"/>
        </w:rPr>
      </w:pPr>
      <w:r>
        <w:rPr>
          <w:rFonts w:hint="eastAsia"/>
          <w:highlight w:val="none"/>
        </w:rPr>
        <w:t>51.质疑条件</w:t>
      </w:r>
    </w:p>
    <w:p>
      <w:pPr>
        <w:tabs>
          <w:tab w:val="clear" w:pos="426"/>
        </w:tabs>
        <w:rPr>
          <w:rFonts w:hint="eastAsia"/>
          <w:highlight w:val="none"/>
        </w:rPr>
      </w:pPr>
      <w:r>
        <w:rPr>
          <w:rFonts w:hint="eastAsia"/>
          <w:highlight w:val="none"/>
        </w:rPr>
        <w:t>51.1提出质疑的应是直接参与相应采购项目的供应商。以联合体形式参与的，由联合体共同提出；</w:t>
      </w:r>
    </w:p>
    <w:p>
      <w:pPr>
        <w:tabs>
          <w:tab w:val="clear" w:pos="426"/>
        </w:tabs>
        <w:rPr>
          <w:rFonts w:hint="eastAsia"/>
          <w:highlight w:val="none"/>
        </w:rPr>
      </w:pPr>
      <w:r>
        <w:rPr>
          <w:rFonts w:hint="eastAsia"/>
          <w:highlight w:val="none"/>
        </w:rPr>
        <w:t>51.2提供质疑的项目名称和编号、质疑供应商的单位名称、详细地址、邮政编码、联系人及联系电话等基本情况；</w:t>
      </w:r>
    </w:p>
    <w:p>
      <w:pPr>
        <w:tabs>
          <w:tab w:val="clear" w:pos="426"/>
        </w:tabs>
        <w:rPr>
          <w:rFonts w:hint="eastAsia"/>
          <w:highlight w:val="none"/>
        </w:rPr>
      </w:pPr>
      <w:r>
        <w:rPr>
          <w:rFonts w:hint="eastAsia"/>
          <w:highlight w:val="none"/>
        </w:rPr>
        <w:t>51.3有质疑的具体事项、请求及理由，并附相关证据材料；</w:t>
      </w:r>
    </w:p>
    <w:p>
      <w:pPr>
        <w:tabs>
          <w:tab w:val="clear" w:pos="426"/>
        </w:tabs>
        <w:rPr>
          <w:rFonts w:hint="eastAsia"/>
          <w:highlight w:val="none"/>
        </w:rPr>
      </w:pPr>
      <w:r>
        <w:rPr>
          <w:rFonts w:hint="eastAsia"/>
          <w:highlight w:val="none"/>
        </w:rPr>
        <w:t>51.4质疑书加盖公章，被授权人进行质疑的同时提交法人授权委托书；</w:t>
      </w:r>
    </w:p>
    <w:p>
      <w:pPr>
        <w:tabs>
          <w:tab w:val="clear" w:pos="426"/>
        </w:tabs>
        <w:rPr>
          <w:rFonts w:hint="eastAsia"/>
          <w:highlight w:val="none"/>
        </w:rPr>
      </w:pPr>
      <w:r>
        <w:rPr>
          <w:rFonts w:hint="eastAsia"/>
          <w:highlight w:val="none"/>
        </w:rPr>
        <w:t>51.5质疑材料中有外文资料的，应一并附上中文译本，并以中文译本为准。</w:t>
      </w:r>
    </w:p>
    <w:p>
      <w:pPr>
        <w:tabs>
          <w:tab w:val="clear" w:pos="426"/>
        </w:tabs>
        <w:rPr>
          <w:rFonts w:hint="eastAsia"/>
          <w:highlight w:val="none"/>
        </w:rPr>
      </w:pPr>
      <w:r>
        <w:rPr>
          <w:rFonts w:hint="eastAsia"/>
          <w:highlight w:val="none"/>
        </w:rPr>
        <w:t>51.6质疑不得超过质疑受理的时效和范围。</w:t>
      </w:r>
    </w:p>
    <w:p>
      <w:pPr>
        <w:tabs>
          <w:tab w:val="clear" w:pos="426"/>
        </w:tabs>
        <w:rPr>
          <w:rFonts w:hint="eastAsia"/>
          <w:highlight w:val="none"/>
        </w:rPr>
      </w:pPr>
      <w:r>
        <w:rPr>
          <w:rFonts w:hint="eastAsia"/>
          <w:highlight w:val="none"/>
        </w:rPr>
        <w:t>不符合上述条件的，我采购代理机构不予受理。</w:t>
      </w:r>
    </w:p>
    <w:p>
      <w:pPr>
        <w:tabs>
          <w:tab w:val="clear" w:pos="426"/>
        </w:tabs>
        <w:rPr>
          <w:rFonts w:hint="eastAsia"/>
          <w:highlight w:val="none"/>
        </w:rPr>
      </w:pPr>
      <w:r>
        <w:rPr>
          <w:rFonts w:hint="eastAsia"/>
          <w:highlight w:val="none"/>
        </w:rPr>
        <w:t>52.受理质疑办理程序</w:t>
      </w:r>
    </w:p>
    <w:p>
      <w:pPr>
        <w:tabs>
          <w:tab w:val="clear" w:pos="426"/>
        </w:tabs>
        <w:rPr>
          <w:rFonts w:hint="eastAsia"/>
          <w:highlight w:val="none"/>
        </w:rPr>
      </w:pPr>
      <w:r>
        <w:rPr>
          <w:rFonts w:hint="eastAsia"/>
          <w:highlight w:val="none"/>
        </w:rPr>
        <w:t>52.1先与质疑供应商进行沟通，以消除因误解或对采购规则和程序的不了解而引起的质疑。对沟通情况满意的，供应商撤回质疑，质疑处理程序终止。</w:t>
      </w:r>
    </w:p>
    <w:p>
      <w:pPr>
        <w:tabs>
          <w:tab w:val="clear" w:pos="426"/>
        </w:tabs>
        <w:rPr>
          <w:rFonts w:hint="eastAsia"/>
          <w:highlight w:val="none"/>
        </w:rPr>
      </w:pPr>
      <w:r>
        <w:rPr>
          <w:rFonts w:hint="eastAsia"/>
          <w:highlight w:val="none"/>
        </w:rPr>
        <w:t>52.2处理质疑一般进行书面审查；必要时听取各方当事人的陈述和申辩、进行相关调查；组织原评标委员会或谈判小组进行复议。</w:t>
      </w:r>
    </w:p>
    <w:p>
      <w:pPr>
        <w:tabs>
          <w:tab w:val="clear" w:pos="426"/>
        </w:tabs>
        <w:rPr>
          <w:rFonts w:hint="eastAsia"/>
          <w:highlight w:val="none"/>
        </w:rPr>
      </w:pPr>
      <w:r>
        <w:rPr>
          <w:rFonts w:hint="eastAsia"/>
          <w:highlight w:val="none"/>
        </w:rPr>
        <w:t>52.3在质疑处理期间，采购代理机构视情形决定暂停采购活动。</w:t>
      </w:r>
    </w:p>
    <w:p>
      <w:pPr>
        <w:tabs>
          <w:tab w:val="clear" w:pos="426"/>
        </w:tabs>
        <w:rPr>
          <w:rFonts w:hint="eastAsia"/>
          <w:highlight w:val="none"/>
        </w:rPr>
      </w:pPr>
      <w:r>
        <w:rPr>
          <w:rFonts w:hint="eastAsia"/>
          <w:highlight w:val="none"/>
        </w:rPr>
        <w:t>52.4采购代理机构原则上在质疑受理之日起7个工作日内书面答复质疑供应商。答复函以直接领取、传真或邮寄方式送达。</w:t>
      </w:r>
    </w:p>
    <w:p>
      <w:pPr>
        <w:tabs>
          <w:tab w:val="clear" w:pos="426"/>
        </w:tabs>
        <w:rPr>
          <w:rFonts w:hint="eastAsia"/>
          <w:highlight w:val="none"/>
        </w:rPr>
      </w:pPr>
      <w:r>
        <w:rPr>
          <w:rFonts w:hint="eastAsia"/>
          <w:highlight w:val="none"/>
        </w:rPr>
        <w:t>52.5供应商向采购代理机构提出质疑后，在质疑处理期限内，不得同时向其他方面提起同一质疑。质疑供应商如已就同一事项提起投诉、提请行政复议或诉讼的，质疑程序终止。</w:t>
      </w:r>
    </w:p>
    <w:p>
      <w:pPr>
        <w:tabs>
          <w:tab w:val="clear" w:pos="426"/>
        </w:tabs>
        <w:rPr>
          <w:rFonts w:hint="eastAsia"/>
          <w:highlight w:val="none"/>
        </w:rPr>
      </w:pPr>
      <w:r>
        <w:rPr>
          <w:rFonts w:hint="eastAsia"/>
          <w:highlight w:val="none"/>
        </w:rPr>
        <w:t>53.相关责任与义务</w:t>
      </w:r>
    </w:p>
    <w:p>
      <w:pPr>
        <w:tabs>
          <w:tab w:val="clear" w:pos="426"/>
        </w:tabs>
        <w:rPr>
          <w:rFonts w:hint="eastAsia"/>
          <w:highlight w:val="none"/>
        </w:rPr>
      </w:pPr>
      <w:r>
        <w:rPr>
          <w:rFonts w:hint="eastAsia"/>
          <w:highlight w:val="none"/>
        </w:rPr>
        <w:t>53.1采购单位、评标专家和相关供应商等当事人应积极配合采购代理机构进行质疑调查，如实反映情况，及时提供证明材料。</w:t>
      </w:r>
    </w:p>
    <w:p>
      <w:pPr>
        <w:tabs>
          <w:tab w:val="clear" w:pos="426"/>
        </w:tabs>
        <w:rPr>
          <w:rFonts w:hint="eastAsia"/>
          <w:highlight w:val="none"/>
        </w:rPr>
      </w:pPr>
      <w:r>
        <w:rPr>
          <w:rFonts w:hint="eastAsia"/>
          <w:highlight w:val="none"/>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rPr>
          <w:rFonts w:hint="eastAsia"/>
          <w:highlight w:val="none"/>
        </w:rPr>
      </w:pPr>
      <w:r>
        <w:rPr>
          <w:rFonts w:hint="eastAsia"/>
          <w:highlight w:val="none"/>
        </w:rPr>
        <w:t>53.2.1捏造事实或提供虚假证明材料的；</w:t>
      </w:r>
    </w:p>
    <w:p>
      <w:pPr>
        <w:tabs>
          <w:tab w:val="clear" w:pos="426"/>
        </w:tabs>
        <w:rPr>
          <w:rFonts w:hint="eastAsia"/>
          <w:highlight w:val="none"/>
        </w:rPr>
      </w:pPr>
      <w:r>
        <w:rPr>
          <w:rFonts w:hint="eastAsia"/>
          <w:highlight w:val="none"/>
        </w:rPr>
        <w:t>53.2.2假冒他人名义进行质疑的；</w:t>
      </w:r>
    </w:p>
    <w:p>
      <w:pPr>
        <w:tabs>
          <w:tab w:val="clear" w:pos="426"/>
        </w:tabs>
        <w:rPr>
          <w:rFonts w:hint="eastAsia"/>
          <w:highlight w:val="none"/>
        </w:rPr>
      </w:pPr>
      <w:r>
        <w:rPr>
          <w:rFonts w:hint="eastAsia"/>
          <w:highlight w:val="none"/>
        </w:rPr>
        <w:t>53.2.3拒不配合进行有关调查、情节严重的。</w:t>
      </w:r>
    </w:p>
    <w:p>
      <w:pPr>
        <w:tabs>
          <w:tab w:val="clear" w:pos="426"/>
        </w:tabs>
        <w:rPr>
          <w:rFonts w:hint="eastAsia"/>
          <w:b/>
          <w:highlight w:val="none"/>
        </w:rPr>
      </w:pPr>
      <w:r>
        <w:rPr>
          <w:rFonts w:hint="eastAsia"/>
          <w:highlight w:val="none"/>
        </w:rPr>
        <w:t xml:space="preserve">54．  </w:t>
      </w:r>
      <w:r>
        <w:rPr>
          <w:rFonts w:hint="eastAsia"/>
          <w:b/>
          <w:highlight w:val="none"/>
        </w:rPr>
        <w:t>其他</w:t>
      </w:r>
    </w:p>
    <w:p>
      <w:pPr>
        <w:tabs>
          <w:tab w:val="clear" w:pos="426"/>
        </w:tabs>
        <w:rPr>
          <w:rFonts w:hint="eastAsia"/>
          <w:highlight w:val="none"/>
        </w:rPr>
      </w:pPr>
      <w:r>
        <w:rPr>
          <w:rFonts w:hint="eastAsia"/>
          <w:highlight w:val="none"/>
        </w:rPr>
        <w:t>54.1  本招标文件的解释权归采购代理机构所有，采购代理机构在征得采购人或相关主管部门同意后，有权在法律允许范围内调整本次招标活动的细节及保留最终解释权。</w:t>
      </w:r>
    </w:p>
    <w:p>
      <w:pPr>
        <w:tabs>
          <w:tab w:val="clear" w:pos="426"/>
        </w:tabs>
        <w:rPr>
          <w:rFonts w:hint="eastAsia"/>
          <w:highlight w:val="none"/>
        </w:rPr>
      </w:pPr>
      <w:r>
        <w:rPr>
          <w:rFonts w:hint="eastAsia"/>
          <w:highlight w:val="none"/>
        </w:rPr>
        <w:t>54.2 采购代理机构向投标供应商提供的资料和数据，是采购代理机构现有的能供投标供应商利用的资料，采购代理机构对投标供应商由此而作出的推论、理解和结论概不负责。</w:t>
      </w:r>
    </w:p>
    <w:p>
      <w:pPr>
        <w:tabs>
          <w:tab w:val="clear" w:pos="426"/>
        </w:tabs>
        <w:rPr>
          <w:rFonts w:hint="eastAsia"/>
          <w:highlight w:val="none"/>
        </w:rPr>
      </w:pPr>
      <w:r>
        <w:rPr>
          <w:rFonts w:hint="eastAsia"/>
          <w:highlight w:val="none"/>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rPr>
          <w:rFonts w:hint="eastAsia"/>
          <w:highlight w:val="none"/>
        </w:rPr>
      </w:pPr>
      <w:r>
        <w:rPr>
          <w:rFonts w:hint="eastAsia"/>
          <w:highlight w:val="none"/>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rPr>
          <w:rFonts w:hint="eastAsia"/>
          <w:highlight w:val="none"/>
        </w:rPr>
      </w:pPr>
      <w:r>
        <w:rPr>
          <w:rFonts w:hint="eastAsia"/>
          <w:highlight w:val="none"/>
        </w:rPr>
        <w:t>54.5 本招标文件所有的附件与本招标文件具有同等效力。</w:t>
      </w:r>
      <w:r>
        <w:rPr>
          <w:highlight w:val="none"/>
        </w:rPr>
        <w:br w:type="page"/>
      </w:r>
    </w:p>
    <w:p>
      <w:pPr>
        <w:pStyle w:val="81"/>
        <w:tabs>
          <w:tab w:val="clear" w:pos="426"/>
        </w:tabs>
        <w:rPr>
          <w:highlight w:val="none"/>
        </w:rPr>
      </w:pPr>
      <w:bookmarkStart w:id="181" w:name="_Toc13862"/>
      <w:bookmarkStart w:id="182" w:name="_Toc14427264"/>
      <w:bookmarkStart w:id="183" w:name="_Toc3627284"/>
      <w:r>
        <w:rPr>
          <w:rFonts w:hint="eastAsia"/>
          <w:highlight w:val="none"/>
        </w:rPr>
        <w:t>招标代理服务取费说明</w:t>
      </w:r>
      <w:bookmarkEnd w:id="181"/>
      <w:bookmarkEnd w:id="182"/>
      <w:bookmarkEnd w:id="183"/>
    </w:p>
    <w:p>
      <w:pPr>
        <w:tabs>
          <w:tab w:val="clear" w:pos="426"/>
        </w:tabs>
        <w:ind w:firstLine="440" w:firstLineChars="200"/>
        <w:rPr>
          <w:rFonts w:hint="eastAsia"/>
          <w:sz w:val="22"/>
          <w:highlight w:val="none"/>
        </w:rPr>
      </w:pPr>
      <w:r>
        <w:rPr>
          <w:rFonts w:hint="eastAsia"/>
          <w:sz w:val="22"/>
          <w:highlight w:val="none"/>
        </w:rPr>
        <w:t xml:space="preserve">招标代理服务收费以中标金额为计算基数，按差额定率累进法计算，向中标供应商收取，收费标准如下表所列： </w:t>
      </w:r>
    </w:p>
    <w:p>
      <w:pPr>
        <w:tabs>
          <w:tab w:val="clear" w:pos="426"/>
        </w:tabs>
        <w:ind w:firstLine="440" w:firstLineChars="200"/>
        <w:rPr>
          <w:rFonts w:hint="eastAsia"/>
          <w:sz w:val="22"/>
          <w:highlight w:val="none"/>
        </w:rPr>
      </w:pPr>
      <w:r>
        <w:rPr>
          <w:rFonts w:hint="eastAsia"/>
          <w:sz w:val="22"/>
          <w:highlight w:val="none"/>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rFonts w:hint="eastAsia"/>
                <w:szCs w:val="21"/>
                <w:highlight w:val="none"/>
              </w:rPr>
            </w:pPr>
            <w:r>
              <w:rPr>
                <w:rFonts w:hint="eastAsia"/>
                <w:szCs w:val="21"/>
                <w:highlight w:val="none"/>
              </w:rPr>
              <w:t>服务类型</w:t>
            </w:r>
          </w:p>
          <w:p>
            <w:pPr>
              <w:tabs>
                <w:tab w:val="clear" w:pos="426"/>
              </w:tabs>
              <w:spacing w:line="300" w:lineRule="auto"/>
              <w:jc w:val="center"/>
              <w:rPr>
                <w:rFonts w:hint="eastAsia"/>
                <w:szCs w:val="21"/>
                <w:highlight w:val="none"/>
              </w:rPr>
            </w:pPr>
            <w:r>
              <w:rPr>
                <w:rFonts w:hint="eastAsia"/>
                <w:szCs w:val="21"/>
                <w:highlight w:val="none"/>
              </w:rPr>
              <w:t>费率</w:t>
            </w:r>
          </w:p>
          <w:p>
            <w:pPr>
              <w:tabs>
                <w:tab w:val="clear" w:pos="426"/>
              </w:tabs>
              <w:spacing w:line="300" w:lineRule="auto"/>
              <w:rPr>
                <w:rFonts w:hint="eastAsia"/>
                <w:szCs w:val="21"/>
                <w:highlight w:val="none"/>
              </w:rPr>
            </w:pPr>
            <w:r>
              <w:rPr>
                <w:rFonts w:hint="eastAsia"/>
                <w:szCs w:val="21"/>
                <w:highlight w:val="none"/>
              </w:rPr>
              <w:t>中标金额</w:t>
            </w:r>
          </w:p>
        </w:tc>
        <w:tc>
          <w:tcPr>
            <w:tcW w:w="1845" w:type="dxa"/>
            <w:vAlign w:val="center"/>
          </w:tcPr>
          <w:p>
            <w:pPr>
              <w:spacing w:line="240" w:lineRule="auto"/>
              <w:jc w:val="center"/>
              <w:rPr>
                <w:rFonts w:hint="eastAsia"/>
                <w:szCs w:val="21"/>
                <w:highlight w:val="none"/>
              </w:rPr>
            </w:pPr>
            <w:r>
              <w:rPr>
                <w:rFonts w:hint="eastAsia"/>
                <w:szCs w:val="21"/>
                <w:highlight w:val="none"/>
              </w:rPr>
              <w:t>货物采购</w:t>
            </w:r>
          </w:p>
        </w:tc>
        <w:tc>
          <w:tcPr>
            <w:tcW w:w="1845" w:type="dxa"/>
            <w:vAlign w:val="center"/>
          </w:tcPr>
          <w:p>
            <w:pPr>
              <w:spacing w:line="240" w:lineRule="auto"/>
              <w:jc w:val="center"/>
              <w:rPr>
                <w:rFonts w:hint="eastAsia"/>
                <w:szCs w:val="21"/>
                <w:highlight w:val="none"/>
              </w:rPr>
            </w:pPr>
            <w:r>
              <w:rPr>
                <w:szCs w:val="21"/>
                <w:highlight w:val="none"/>
              </w:rPr>
              <w:t>服务采购</w:t>
            </w:r>
          </w:p>
        </w:tc>
        <w:tc>
          <w:tcPr>
            <w:tcW w:w="1846" w:type="dxa"/>
            <w:vAlign w:val="center"/>
          </w:tcPr>
          <w:p>
            <w:pPr>
              <w:spacing w:line="240" w:lineRule="auto"/>
              <w:jc w:val="center"/>
              <w:rPr>
                <w:rFonts w:hint="eastAsia"/>
                <w:szCs w:val="21"/>
                <w:highlight w:val="none"/>
              </w:rPr>
            </w:pPr>
            <w:r>
              <w:rPr>
                <w:szCs w:val="21"/>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rFonts w:hint="eastAsia"/>
                <w:szCs w:val="21"/>
                <w:highlight w:val="none"/>
              </w:rPr>
            </w:pPr>
            <w:r>
              <w:rPr>
                <w:rFonts w:hint="eastAsia"/>
                <w:szCs w:val="21"/>
                <w:highlight w:val="none"/>
              </w:rPr>
              <w:t>100万元以下</w:t>
            </w:r>
          </w:p>
        </w:tc>
        <w:tc>
          <w:tcPr>
            <w:tcW w:w="1845" w:type="dxa"/>
            <w:vAlign w:val="center"/>
          </w:tcPr>
          <w:p>
            <w:pPr>
              <w:spacing w:line="240" w:lineRule="auto"/>
              <w:jc w:val="center"/>
              <w:rPr>
                <w:rFonts w:hint="eastAsia"/>
                <w:szCs w:val="21"/>
                <w:highlight w:val="none"/>
              </w:rPr>
            </w:pPr>
            <w:r>
              <w:rPr>
                <w:rFonts w:hint="eastAsia"/>
                <w:szCs w:val="21"/>
                <w:highlight w:val="none"/>
              </w:rPr>
              <w:t>1.500%</w:t>
            </w:r>
          </w:p>
        </w:tc>
        <w:tc>
          <w:tcPr>
            <w:tcW w:w="1845" w:type="dxa"/>
            <w:vAlign w:val="center"/>
          </w:tcPr>
          <w:p>
            <w:pPr>
              <w:spacing w:line="240" w:lineRule="auto"/>
              <w:jc w:val="center"/>
              <w:rPr>
                <w:rFonts w:hint="eastAsia"/>
                <w:szCs w:val="21"/>
                <w:highlight w:val="none"/>
              </w:rPr>
            </w:pPr>
            <w:r>
              <w:rPr>
                <w:rFonts w:hint="eastAsia"/>
                <w:szCs w:val="21"/>
                <w:highlight w:val="none"/>
              </w:rPr>
              <w:t>1.500%</w:t>
            </w:r>
          </w:p>
        </w:tc>
        <w:tc>
          <w:tcPr>
            <w:tcW w:w="1846" w:type="dxa"/>
            <w:vAlign w:val="center"/>
          </w:tcPr>
          <w:p>
            <w:pPr>
              <w:spacing w:line="240" w:lineRule="auto"/>
              <w:jc w:val="center"/>
              <w:rPr>
                <w:rFonts w:hint="eastAsia"/>
                <w:szCs w:val="21"/>
                <w:highlight w:val="none"/>
              </w:rPr>
            </w:pPr>
            <w:r>
              <w:rPr>
                <w:rFonts w:hint="eastAsia"/>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highlight w:val="none"/>
              </w:rPr>
            </w:pPr>
            <w:r>
              <w:rPr>
                <w:rFonts w:hint="eastAsia"/>
                <w:szCs w:val="21"/>
                <w:highlight w:val="none"/>
              </w:rPr>
              <w:t>100万元（含）-500万元</w:t>
            </w:r>
          </w:p>
        </w:tc>
        <w:tc>
          <w:tcPr>
            <w:tcW w:w="1845" w:type="dxa"/>
            <w:vAlign w:val="center"/>
          </w:tcPr>
          <w:p>
            <w:pPr>
              <w:spacing w:line="240" w:lineRule="auto"/>
              <w:jc w:val="center"/>
              <w:rPr>
                <w:rFonts w:hint="eastAsia"/>
                <w:szCs w:val="21"/>
                <w:highlight w:val="none"/>
              </w:rPr>
            </w:pPr>
            <w:r>
              <w:rPr>
                <w:rFonts w:hint="eastAsia"/>
                <w:szCs w:val="21"/>
                <w:highlight w:val="none"/>
              </w:rPr>
              <w:t>1.100%</w:t>
            </w:r>
          </w:p>
        </w:tc>
        <w:tc>
          <w:tcPr>
            <w:tcW w:w="1845" w:type="dxa"/>
            <w:vAlign w:val="center"/>
          </w:tcPr>
          <w:p>
            <w:pPr>
              <w:spacing w:line="240" w:lineRule="auto"/>
              <w:jc w:val="center"/>
              <w:rPr>
                <w:rFonts w:hint="eastAsia"/>
                <w:szCs w:val="21"/>
                <w:highlight w:val="none"/>
              </w:rPr>
            </w:pPr>
            <w:r>
              <w:rPr>
                <w:rFonts w:hint="eastAsia"/>
                <w:szCs w:val="21"/>
                <w:highlight w:val="none"/>
              </w:rPr>
              <w:t>0.800%</w:t>
            </w:r>
          </w:p>
        </w:tc>
        <w:tc>
          <w:tcPr>
            <w:tcW w:w="1846" w:type="dxa"/>
            <w:vAlign w:val="center"/>
          </w:tcPr>
          <w:p>
            <w:pPr>
              <w:spacing w:line="240" w:lineRule="auto"/>
              <w:jc w:val="center"/>
              <w:rPr>
                <w:rFonts w:hint="eastAsia"/>
                <w:szCs w:val="21"/>
                <w:highlight w:val="none"/>
              </w:rPr>
            </w:pPr>
            <w:r>
              <w:rPr>
                <w:rFonts w:hint="eastAsia"/>
                <w:szCs w:val="21"/>
                <w:highlight w:val="none"/>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highlight w:val="none"/>
              </w:rPr>
            </w:pPr>
            <w:r>
              <w:rPr>
                <w:rFonts w:hint="eastAsia"/>
                <w:szCs w:val="21"/>
                <w:highlight w:val="none"/>
              </w:rPr>
              <w:t>500万元（含）-1000万元</w:t>
            </w:r>
          </w:p>
        </w:tc>
        <w:tc>
          <w:tcPr>
            <w:tcW w:w="1845" w:type="dxa"/>
            <w:vAlign w:val="center"/>
          </w:tcPr>
          <w:p>
            <w:pPr>
              <w:spacing w:line="240" w:lineRule="auto"/>
              <w:jc w:val="center"/>
              <w:rPr>
                <w:rFonts w:hint="eastAsia"/>
                <w:szCs w:val="21"/>
                <w:highlight w:val="none"/>
              </w:rPr>
            </w:pPr>
            <w:r>
              <w:rPr>
                <w:rFonts w:hint="eastAsia"/>
                <w:szCs w:val="21"/>
                <w:highlight w:val="none"/>
              </w:rPr>
              <w:t>0.800%</w:t>
            </w:r>
          </w:p>
        </w:tc>
        <w:tc>
          <w:tcPr>
            <w:tcW w:w="1845" w:type="dxa"/>
            <w:vAlign w:val="center"/>
          </w:tcPr>
          <w:p>
            <w:pPr>
              <w:spacing w:line="240" w:lineRule="auto"/>
              <w:jc w:val="center"/>
              <w:rPr>
                <w:rFonts w:hint="eastAsia"/>
                <w:szCs w:val="21"/>
                <w:highlight w:val="none"/>
              </w:rPr>
            </w:pPr>
            <w:r>
              <w:rPr>
                <w:rFonts w:hint="eastAsia"/>
                <w:szCs w:val="21"/>
                <w:highlight w:val="none"/>
              </w:rPr>
              <w:t>0.450%</w:t>
            </w:r>
          </w:p>
        </w:tc>
        <w:tc>
          <w:tcPr>
            <w:tcW w:w="1846" w:type="dxa"/>
            <w:vAlign w:val="center"/>
          </w:tcPr>
          <w:p>
            <w:pPr>
              <w:spacing w:line="240" w:lineRule="auto"/>
              <w:jc w:val="center"/>
              <w:rPr>
                <w:rFonts w:hint="eastAsia"/>
                <w:szCs w:val="21"/>
                <w:highlight w:val="none"/>
              </w:rPr>
            </w:pPr>
            <w:r>
              <w:rPr>
                <w:rFonts w:hint="eastAsia"/>
                <w:szCs w:val="21"/>
                <w:highlight w:val="none"/>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highlight w:val="none"/>
              </w:rPr>
            </w:pPr>
            <w:r>
              <w:rPr>
                <w:rFonts w:hint="eastAsia"/>
                <w:szCs w:val="21"/>
                <w:highlight w:val="none"/>
              </w:rPr>
              <w:t>1000万元（含）-5000万元</w:t>
            </w:r>
          </w:p>
        </w:tc>
        <w:tc>
          <w:tcPr>
            <w:tcW w:w="1845" w:type="dxa"/>
            <w:vAlign w:val="center"/>
          </w:tcPr>
          <w:p>
            <w:pPr>
              <w:spacing w:line="240" w:lineRule="auto"/>
              <w:jc w:val="center"/>
              <w:rPr>
                <w:rFonts w:hint="eastAsia"/>
                <w:szCs w:val="21"/>
                <w:highlight w:val="none"/>
              </w:rPr>
            </w:pPr>
            <w:r>
              <w:rPr>
                <w:rFonts w:hint="eastAsia"/>
                <w:szCs w:val="21"/>
                <w:highlight w:val="none"/>
              </w:rPr>
              <w:t>0.500%</w:t>
            </w:r>
          </w:p>
        </w:tc>
        <w:tc>
          <w:tcPr>
            <w:tcW w:w="1845" w:type="dxa"/>
            <w:vAlign w:val="center"/>
          </w:tcPr>
          <w:p>
            <w:pPr>
              <w:spacing w:line="240" w:lineRule="auto"/>
              <w:jc w:val="center"/>
              <w:rPr>
                <w:rFonts w:hint="eastAsia"/>
                <w:szCs w:val="21"/>
                <w:highlight w:val="none"/>
              </w:rPr>
            </w:pPr>
            <w:r>
              <w:rPr>
                <w:rFonts w:hint="eastAsia"/>
                <w:szCs w:val="21"/>
                <w:highlight w:val="none"/>
              </w:rPr>
              <w:t>0.250%</w:t>
            </w:r>
          </w:p>
        </w:tc>
        <w:tc>
          <w:tcPr>
            <w:tcW w:w="1846" w:type="dxa"/>
            <w:vAlign w:val="center"/>
          </w:tcPr>
          <w:p>
            <w:pPr>
              <w:spacing w:line="240" w:lineRule="auto"/>
              <w:jc w:val="center"/>
              <w:rPr>
                <w:rFonts w:hint="eastAsia"/>
                <w:szCs w:val="21"/>
                <w:highlight w:val="none"/>
              </w:rPr>
            </w:pPr>
            <w:r>
              <w:rPr>
                <w:rFonts w:hint="eastAsia"/>
                <w:szCs w:val="21"/>
                <w:highlight w:val="none"/>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highlight w:val="none"/>
              </w:rPr>
            </w:pPr>
            <w:r>
              <w:rPr>
                <w:rFonts w:hint="eastAsia"/>
                <w:szCs w:val="21"/>
                <w:highlight w:val="none"/>
              </w:rPr>
              <w:t>5000万元（含）-1亿元</w:t>
            </w:r>
          </w:p>
        </w:tc>
        <w:tc>
          <w:tcPr>
            <w:tcW w:w="1845" w:type="dxa"/>
            <w:vAlign w:val="center"/>
          </w:tcPr>
          <w:p>
            <w:pPr>
              <w:spacing w:line="240" w:lineRule="auto"/>
              <w:jc w:val="center"/>
              <w:rPr>
                <w:rFonts w:hint="eastAsia"/>
                <w:szCs w:val="21"/>
                <w:highlight w:val="none"/>
              </w:rPr>
            </w:pPr>
            <w:r>
              <w:rPr>
                <w:rFonts w:hint="eastAsia"/>
                <w:szCs w:val="21"/>
                <w:highlight w:val="none"/>
              </w:rPr>
              <w:t>0.250%</w:t>
            </w:r>
          </w:p>
        </w:tc>
        <w:tc>
          <w:tcPr>
            <w:tcW w:w="1845" w:type="dxa"/>
            <w:vAlign w:val="center"/>
          </w:tcPr>
          <w:p>
            <w:pPr>
              <w:spacing w:line="240" w:lineRule="auto"/>
              <w:jc w:val="center"/>
              <w:rPr>
                <w:rFonts w:hint="eastAsia"/>
                <w:szCs w:val="21"/>
                <w:highlight w:val="none"/>
              </w:rPr>
            </w:pPr>
            <w:r>
              <w:rPr>
                <w:rFonts w:hint="eastAsia"/>
                <w:szCs w:val="21"/>
                <w:highlight w:val="none"/>
              </w:rPr>
              <w:t>0.100%</w:t>
            </w:r>
          </w:p>
        </w:tc>
        <w:tc>
          <w:tcPr>
            <w:tcW w:w="1846" w:type="dxa"/>
            <w:vAlign w:val="center"/>
          </w:tcPr>
          <w:p>
            <w:pPr>
              <w:spacing w:line="240" w:lineRule="auto"/>
              <w:jc w:val="center"/>
              <w:rPr>
                <w:rFonts w:hint="eastAsia"/>
                <w:szCs w:val="21"/>
                <w:highlight w:val="none"/>
              </w:rPr>
            </w:pPr>
            <w:r>
              <w:rPr>
                <w:rFonts w:hint="eastAsia"/>
                <w:szCs w:val="21"/>
                <w:highlight w:val="none"/>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highlight w:val="none"/>
              </w:rPr>
            </w:pPr>
            <w:r>
              <w:rPr>
                <w:rFonts w:hint="eastAsia"/>
                <w:szCs w:val="21"/>
                <w:highlight w:val="none"/>
              </w:rPr>
              <w:t>1亿元（含）-5亿元</w:t>
            </w:r>
          </w:p>
        </w:tc>
        <w:tc>
          <w:tcPr>
            <w:tcW w:w="1845" w:type="dxa"/>
            <w:vAlign w:val="center"/>
          </w:tcPr>
          <w:p>
            <w:pPr>
              <w:spacing w:line="240" w:lineRule="auto"/>
              <w:jc w:val="center"/>
              <w:rPr>
                <w:rFonts w:hint="eastAsia"/>
                <w:szCs w:val="21"/>
                <w:highlight w:val="none"/>
              </w:rPr>
            </w:pPr>
            <w:r>
              <w:rPr>
                <w:rFonts w:hint="eastAsia"/>
                <w:szCs w:val="21"/>
                <w:highlight w:val="none"/>
              </w:rPr>
              <w:t>0.050%</w:t>
            </w:r>
          </w:p>
        </w:tc>
        <w:tc>
          <w:tcPr>
            <w:tcW w:w="1845" w:type="dxa"/>
            <w:vAlign w:val="center"/>
          </w:tcPr>
          <w:p>
            <w:pPr>
              <w:spacing w:line="240" w:lineRule="auto"/>
              <w:jc w:val="center"/>
              <w:rPr>
                <w:rFonts w:hint="eastAsia"/>
                <w:szCs w:val="21"/>
                <w:highlight w:val="none"/>
              </w:rPr>
            </w:pPr>
            <w:r>
              <w:rPr>
                <w:rFonts w:hint="eastAsia"/>
                <w:szCs w:val="21"/>
                <w:highlight w:val="none"/>
              </w:rPr>
              <w:t>0.050%</w:t>
            </w:r>
          </w:p>
        </w:tc>
        <w:tc>
          <w:tcPr>
            <w:tcW w:w="1846" w:type="dxa"/>
            <w:vAlign w:val="center"/>
          </w:tcPr>
          <w:p>
            <w:pPr>
              <w:spacing w:line="240" w:lineRule="auto"/>
              <w:jc w:val="center"/>
              <w:rPr>
                <w:rFonts w:hint="eastAsia"/>
                <w:szCs w:val="21"/>
                <w:highlight w:val="none"/>
              </w:rPr>
            </w:pPr>
            <w:r>
              <w:rPr>
                <w:rFonts w:hint="eastAsia"/>
                <w:szCs w:val="21"/>
                <w:highlight w:val="none"/>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highlight w:val="none"/>
              </w:rPr>
            </w:pPr>
            <w:r>
              <w:rPr>
                <w:rFonts w:hint="eastAsia"/>
                <w:szCs w:val="21"/>
                <w:highlight w:val="none"/>
              </w:rPr>
              <w:t>5亿元（含）-10亿元</w:t>
            </w:r>
          </w:p>
        </w:tc>
        <w:tc>
          <w:tcPr>
            <w:tcW w:w="1845" w:type="dxa"/>
            <w:vAlign w:val="center"/>
          </w:tcPr>
          <w:p>
            <w:pPr>
              <w:spacing w:line="240" w:lineRule="auto"/>
              <w:jc w:val="center"/>
              <w:rPr>
                <w:rFonts w:hint="eastAsia"/>
                <w:szCs w:val="21"/>
                <w:highlight w:val="none"/>
              </w:rPr>
            </w:pPr>
            <w:r>
              <w:rPr>
                <w:rFonts w:hint="eastAsia"/>
                <w:szCs w:val="21"/>
                <w:highlight w:val="none"/>
              </w:rPr>
              <w:t>0.035%</w:t>
            </w:r>
          </w:p>
        </w:tc>
        <w:tc>
          <w:tcPr>
            <w:tcW w:w="1845" w:type="dxa"/>
            <w:vAlign w:val="center"/>
          </w:tcPr>
          <w:p>
            <w:pPr>
              <w:spacing w:line="240" w:lineRule="auto"/>
              <w:jc w:val="center"/>
              <w:rPr>
                <w:rFonts w:hint="eastAsia"/>
                <w:szCs w:val="21"/>
                <w:highlight w:val="none"/>
              </w:rPr>
            </w:pPr>
            <w:r>
              <w:rPr>
                <w:rFonts w:hint="eastAsia"/>
                <w:szCs w:val="21"/>
                <w:highlight w:val="none"/>
              </w:rPr>
              <w:t>0.035%</w:t>
            </w:r>
          </w:p>
        </w:tc>
        <w:tc>
          <w:tcPr>
            <w:tcW w:w="1846" w:type="dxa"/>
            <w:vAlign w:val="center"/>
          </w:tcPr>
          <w:p>
            <w:pPr>
              <w:spacing w:line="240" w:lineRule="auto"/>
              <w:jc w:val="center"/>
              <w:rPr>
                <w:rFonts w:hint="eastAsia"/>
                <w:szCs w:val="21"/>
                <w:highlight w:val="none"/>
              </w:rPr>
            </w:pPr>
            <w:r>
              <w:rPr>
                <w:rFonts w:hint="eastAsia"/>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highlight w:val="none"/>
              </w:rPr>
            </w:pPr>
            <w:r>
              <w:rPr>
                <w:rFonts w:hint="eastAsia"/>
                <w:szCs w:val="21"/>
                <w:highlight w:val="none"/>
              </w:rPr>
              <w:t>10亿元（含）-50亿元</w:t>
            </w:r>
          </w:p>
        </w:tc>
        <w:tc>
          <w:tcPr>
            <w:tcW w:w="1845" w:type="dxa"/>
            <w:vAlign w:val="center"/>
          </w:tcPr>
          <w:p>
            <w:pPr>
              <w:spacing w:line="240" w:lineRule="auto"/>
              <w:jc w:val="center"/>
              <w:rPr>
                <w:rFonts w:hint="eastAsia"/>
                <w:szCs w:val="21"/>
                <w:highlight w:val="none"/>
              </w:rPr>
            </w:pPr>
            <w:r>
              <w:rPr>
                <w:rFonts w:hint="eastAsia"/>
                <w:szCs w:val="21"/>
                <w:highlight w:val="none"/>
              </w:rPr>
              <w:t>0.008%</w:t>
            </w:r>
          </w:p>
        </w:tc>
        <w:tc>
          <w:tcPr>
            <w:tcW w:w="1845" w:type="dxa"/>
            <w:vAlign w:val="center"/>
          </w:tcPr>
          <w:p>
            <w:pPr>
              <w:spacing w:line="240" w:lineRule="auto"/>
              <w:jc w:val="center"/>
              <w:rPr>
                <w:rFonts w:hint="eastAsia"/>
                <w:szCs w:val="21"/>
                <w:highlight w:val="none"/>
              </w:rPr>
            </w:pPr>
            <w:r>
              <w:rPr>
                <w:rFonts w:hint="eastAsia"/>
                <w:szCs w:val="21"/>
                <w:highlight w:val="none"/>
              </w:rPr>
              <w:t>0.008%</w:t>
            </w:r>
          </w:p>
        </w:tc>
        <w:tc>
          <w:tcPr>
            <w:tcW w:w="1846" w:type="dxa"/>
            <w:vAlign w:val="center"/>
          </w:tcPr>
          <w:p>
            <w:pPr>
              <w:spacing w:line="240" w:lineRule="auto"/>
              <w:jc w:val="center"/>
              <w:rPr>
                <w:rFonts w:hint="eastAsia"/>
                <w:szCs w:val="21"/>
                <w:highlight w:val="none"/>
              </w:rPr>
            </w:pPr>
            <w:r>
              <w:rPr>
                <w:rFonts w:hint="eastAsia"/>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rFonts w:hint="eastAsia"/>
                <w:szCs w:val="21"/>
                <w:highlight w:val="none"/>
              </w:rPr>
            </w:pPr>
            <w:r>
              <w:rPr>
                <w:rFonts w:hint="eastAsia"/>
                <w:szCs w:val="21"/>
                <w:highlight w:val="none"/>
              </w:rPr>
              <w:t>50亿元（含）-100亿元</w:t>
            </w:r>
          </w:p>
        </w:tc>
        <w:tc>
          <w:tcPr>
            <w:tcW w:w="1845" w:type="dxa"/>
            <w:vAlign w:val="center"/>
          </w:tcPr>
          <w:p>
            <w:pPr>
              <w:spacing w:line="240" w:lineRule="auto"/>
              <w:jc w:val="center"/>
              <w:rPr>
                <w:rFonts w:hint="eastAsia"/>
                <w:szCs w:val="21"/>
                <w:highlight w:val="none"/>
              </w:rPr>
            </w:pPr>
            <w:r>
              <w:rPr>
                <w:rFonts w:hint="eastAsia"/>
                <w:szCs w:val="21"/>
                <w:highlight w:val="none"/>
              </w:rPr>
              <w:t>0.006%</w:t>
            </w:r>
          </w:p>
        </w:tc>
        <w:tc>
          <w:tcPr>
            <w:tcW w:w="1845" w:type="dxa"/>
            <w:vAlign w:val="center"/>
          </w:tcPr>
          <w:p>
            <w:pPr>
              <w:spacing w:line="240" w:lineRule="auto"/>
              <w:jc w:val="center"/>
              <w:rPr>
                <w:rFonts w:hint="eastAsia"/>
                <w:szCs w:val="21"/>
                <w:highlight w:val="none"/>
              </w:rPr>
            </w:pPr>
            <w:r>
              <w:rPr>
                <w:rFonts w:hint="eastAsia"/>
                <w:szCs w:val="21"/>
                <w:highlight w:val="none"/>
              </w:rPr>
              <w:t>0.006%</w:t>
            </w:r>
          </w:p>
        </w:tc>
        <w:tc>
          <w:tcPr>
            <w:tcW w:w="1846" w:type="dxa"/>
            <w:vAlign w:val="center"/>
          </w:tcPr>
          <w:p>
            <w:pPr>
              <w:spacing w:line="240" w:lineRule="auto"/>
              <w:jc w:val="center"/>
              <w:rPr>
                <w:rFonts w:hint="eastAsia"/>
                <w:szCs w:val="21"/>
                <w:highlight w:val="none"/>
              </w:rPr>
            </w:pPr>
            <w:r>
              <w:rPr>
                <w:rFonts w:hint="eastAsia"/>
                <w:szCs w:val="21"/>
                <w:highlight w:val="none"/>
              </w:rPr>
              <w:t>0.006%</w:t>
            </w:r>
          </w:p>
        </w:tc>
      </w:tr>
    </w:tbl>
    <w:p>
      <w:pPr>
        <w:tabs>
          <w:tab w:val="clear" w:pos="426"/>
        </w:tabs>
        <w:ind w:left="424" w:leftChars="202" w:firstLine="440" w:firstLineChars="200"/>
        <w:rPr>
          <w:rFonts w:hint="eastAsia"/>
          <w:sz w:val="22"/>
          <w:highlight w:val="none"/>
        </w:rPr>
      </w:pPr>
      <w:r>
        <w:rPr>
          <w:rFonts w:hint="eastAsia"/>
          <w:sz w:val="22"/>
          <w:highlight w:val="none"/>
        </w:rPr>
        <w:t>以某5000万项目货物类招标为例：</w:t>
      </w:r>
    </w:p>
    <w:p>
      <w:pPr>
        <w:tabs>
          <w:tab w:val="clear" w:pos="426"/>
        </w:tabs>
        <w:ind w:left="424" w:leftChars="202" w:firstLine="440" w:firstLineChars="200"/>
        <w:rPr>
          <w:rFonts w:hint="eastAsia"/>
          <w:sz w:val="22"/>
          <w:highlight w:val="none"/>
        </w:rPr>
      </w:pPr>
      <w:r>
        <w:rPr>
          <w:rFonts w:hint="eastAsia"/>
          <w:sz w:val="22"/>
          <w:highlight w:val="none"/>
        </w:rPr>
        <w:t>计算基准价</w:t>
      </w:r>
      <w:r>
        <w:rPr>
          <w:sz w:val="22"/>
          <w:highlight w:val="none"/>
        </w:rPr>
        <w:t>为</w:t>
      </w:r>
      <w:r>
        <w:rPr>
          <w:rFonts w:hint="eastAsia"/>
          <w:sz w:val="22"/>
          <w:highlight w:val="none"/>
        </w:rPr>
        <w:t>中标价5000万元</w:t>
      </w:r>
      <w:r>
        <w:rPr>
          <w:sz w:val="22"/>
          <w:highlight w:val="none"/>
        </w:rPr>
        <w:t>，则招标代理</w:t>
      </w:r>
      <w:r>
        <w:rPr>
          <w:rFonts w:hint="eastAsia"/>
          <w:sz w:val="22"/>
          <w:highlight w:val="none"/>
        </w:rPr>
        <w:t>服务</w:t>
      </w:r>
      <w:r>
        <w:rPr>
          <w:sz w:val="22"/>
          <w:highlight w:val="none"/>
        </w:rPr>
        <w:t>费计算为：</w:t>
      </w:r>
    </w:p>
    <w:p>
      <w:pPr>
        <w:tabs>
          <w:tab w:val="clear" w:pos="426"/>
        </w:tabs>
        <w:ind w:left="424" w:leftChars="202" w:firstLine="440" w:firstLineChars="200"/>
        <w:rPr>
          <w:rFonts w:hint="eastAsia"/>
          <w:sz w:val="22"/>
          <w:highlight w:val="none"/>
        </w:rPr>
      </w:pPr>
      <w:r>
        <w:rPr>
          <w:rFonts w:hint="eastAsia"/>
          <w:sz w:val="22"/>
          <w:highlight w:val="none"/>
        </w:rPr>
        <w:t xml:space="preserve">100万元×1.5%=1.5万元   </w:t>
      </w:r>
    </w:p>
    <w:p>
      <w:pPr>
        <w:tabs>
          <w:tab w:val="clear" w:pos="426"/>
        </w:tabs>
        <w:ind w:left="424" w:leftChars="202" w:firstLine="440" w:firstLineChars="200"/>
        <w:rPr>
          <w:rFonts w:hint="eastAsia"/>
          <w:sz w:val="22"/>
          <w:highlight w:val="none"/>
        </w:rPr>
      </w:pPr>
      <w:r>
        <w:rPr>
          <w:rFonts w:hint="eastAsia"/>
          <w:sz w:val="22"/>
          <w:highlight w:val="none"/>
        </w:rPr>
        <w:t>（500-100）万元×</w:t>
      </w:r>
      <w:r>
        <w:rPr>
          <w:sz w:val="22"/>
          <w:highlight w:val="none"/>
        </w:rPr>
        <w:t>1.1</w:t>
      </w:r>
      <w:r>
        <w:rPr>
          <w:rFonts w:hint="eastAsia"/>
          <w:sz w:val="22"/>
          <w:highlight w:val="none"/>
        </w:rPr>
        <w:t>%=</w:t>
      </w:r>
      <w:r>
        <w:rPr>
          <w:sz w:val="22"/>
          <w:highlight w:val="none"/>
        </w:rPr>
        <w:t>4.4</w:t>
      </w:r>
      <w:r>
        <w:rPr>
          <w:rFonts w:hint="eastAsia"/>
          <w:sz w:val="22"/>
          <w:highlight w:val="none"/>
        </w:rPr>
        <w:t xml:space="preserve">万元 </w:t>
      </w:r>
    </w:p>
    <w:p>
      <w:pPr>
        <w:tabs>
          <w:tab w:val="clear" w:pos="426"/>
        </w:tabs>
        <w:ind w:left="424" w:leftChars="202" w:firstLine="440" w:firstLineChars="200"/>
        <w:rPr>
          <w:rFonts w:hint="eastAsia"/>
          <w:sz w:val="22"/>
          <w:highlight w:val="none"/>
        </w:rPr>
      </w:pPr>
      <w:r>
        <w:rPr>
          <w:rFonts w:hint="eastAsia"/>
          <w:sz w:val="22"/>
          <w:highlight w:val="none"/>
        </w:rPr>
        <w:t>（1000-500）万元×</w:t>
      </w:r>
      <w:r>
        <w:rPr>
          <w:sz w:val="22"/>
          <w:highlight w:val="none"/>
        </w:rPr>
        <w:t>0.8</w:t>
      </w:r>
      <w:r>
        <w:rPr>
          <w:rFonts w:hint="eastAsia"/>
          <w:sz w:val="22"/>
          <w:highlight w:val="none"/>
        </w:rPr>
        <w:t>%=</w:t>
      </w:r>
      <w:r>
        <w:rPr>
          <w:sz w:val="22"/>
          <w:highlight w:val="none"/>
        </w:rPr>
        <w:t>4</w:t>
      </w:r>
      <w:r>
        <w:rPr>
          <w:rFonts w:hint="eastAsia"/>
          <w:sz w:val="22"/>
          <w:highlight w:val="none"/>
        </w:rPr>
        <w:t xml:space="preserve">万元 </w:t>
      </w:r>
    </w:p>
    <w:p>
      <w:pPr>
        <w:tabs>
          <w:tab w:val="clear" w:pos="426"/>
        </w:tabs>
        <w:ind w:left="424" w:leftChars="202" w:firstLine="440" w:firstLineChars="200"/>
        <w:rPr>
          <w:rFonts w:hint="eastAsia"/>
          <w:sz w:val="22"/>
          <w:highlight w:val="none"/>
        </w:rPr>
      </w:pPr>
      <w:r>
        <w:rPr>
          <w:rFonts w:hint="eastAsia"/>
          <w:sz w:val="22"/>
          <w:highlight w:val="none"/>
        </w:rPr>
        <w:t>（5000-1000）万元×0.</w:t>
      </w:r>
      <w:r>
        <w:rPr>
          <w:sz w:val="22"/>
          <w:highlight w:val="none"/>
        </w:rPr>
        <w:t>5</w:t>
      </w:r>
      <w:r>
        <w:rPr>
          <w:rFonts w:hint="eastAsia"/>
          <w:sz w:val="22"/>
          <w:highlight w:val="none"/>
        </w:rPr>
        <w:t>%=</w:t>
      </w:r>
      <w:r>
        <w:rPr>
          <w:sz w:val="22"/>
          <w:highlight w:val="none"/>
        </w:rPr>
        <w:t>20</w:t>
      </w:r>
      <w:r>
        <w:rPr>
          <w:rFonts w:hint="eastAsia"/>
          <w:sz w:val="22"/>
          <w:highlight w:val="none"/>
        </w:rPr>
        <w:t>万元</w:t>
      </w:r>
    </w:p>
    <w:p>
      <w:pPr>
        <w:tabs>
          <w:tab w:val="clear" w:pos="426"/>
        </w:tabs>
        <w:ind w:left="424" w:leftChars="202" w:firstLine="440" w:firstLineChars="200"/>
        <w:rPr>
          <w:rFonts w:hint="eastAsia"/>
          <w:sz w:val="22"/>
          <w:highlight w:val="none"/>
        </w:rPr>
      </w:pPr>
      <w:r>
        <w:rPr>
          <w:rFonts w:hint="eastAsia"/>
          <w:sz w:val="22"/>
          <w:highlight w:val="none"/>
        </w:rPr>
        <w:t>因此，招标代理服务费为：1.5+</w:t>
      </w:r>
      <w:r>
        <w:rPr>
          <w:sz w:val="22"/>
          <w:highlight w:val="none"/>
        </w:rPr>
        <w:t>4.4</w:t>
      </w:r>
      <w:r>
        <w:rPr>
          <w:rFonts w:hint="eastAsia"/>
          <w:sz w:val="22"/>
          <w:highlight w:val="none"/>
        </w:rPr>
        <w:t>+</w:t>
      </w:r>
      <w:r>
        <w:rPr>
          <w:sz w:val="22"/>
          <w:highlight w:val="none"/>
        </w:rPr>
        <w:t>4</w:t>
      </w:r>
      <w:r>
        <w:rPr>
          <w:rFonts w:hint="eastAsia"/>
          <w:sz w:val="22"/>
          <w:highlight w:val="none"/>
        </w:rPr>
        <w:t>+</w:t>
      </w:r>
      <w:r>
        <w:rPr>
          <w:sz w:val="22"/>
          <w:highlight w:val="none"/>
        </w:rPr>
        <w:t>2</w:t>
      </w:r>
      <w:r>
        <w:rPr>
          <w:rFonts w:hint="eastAsia"/>
          <w:sz w:val="22"/>
          <w:highlight w:val="none"/>
        </w:rPr>
        <w:t>0=</w:t>
      </w:r>
      <w:r>
        <w:rPr>
          <w:sz w:val="22"/>
          <w:highlight w:val="none"/>
        </w:rPr>
        <w:t>29.9</w:t>
      </w:r>
      <w:r>
        <w:rPr>
          <w:rFonts w:hint="eastAsia"/>
          <w:sz w:val="22"/>
          <w:highlight w:val="none"/>
        </w:rPr>
        <w:t>万元。</w:t>
      </w:r>
    </w:p>
    <w:p>
      <w:pPr>
        <w:shd w:val="clear" w:color="auto" w:fill="auto"/>
        <w:tabs>
          <w:tab w:val="clear" w:pos="426"/>
        </w:tabs>
        <w:adjustRightInd/>
        <w:snapToGrid/>
        <w:spacing w:line="240" w:lineRule="auto"/>
        <w:jc w:val="left"/>
        <w:rPr>
          <w:rFonts w:ascii="Arial" w:hAnsi="Arial" w:cs="Times New Roman"/>
          <w:bCs/>
          <w:kern w:val="2"/>
          <w:sz w:val="36"/>
          <w:szCs w:val="32"/>
          <w:highlight w:val="none"/>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4">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103C"/>
    <w:rsid w:val="00081639"/>
    <w:rsid w:val="000818BE"/>
    <w:rsid w:val="00081A6E"/>
    <w:rsid w:val="000820FF"/>
    <w:rsid w:val="000823D2"/>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7BF"/>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CD"/>
    <w:rsid w:val="0024727D"/>
    <w:rsid w:val="00247343"/>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4C57"/>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A2F"/>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1A3"/>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5F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A1C"/>
    <w:rsid w:val="00491F9F"/>
    <w:rsid w:val="004920D9"/>
    <w:rsid w:val="0049242A"/>
    <w:rsid w:val="00492735"/>
    <w:rsid w:val="00492B25"/>
    <w:rsid w:val="00492EC7"/>
    <w:rsid w:val="004931EB"/>
    <w:rsid w:val="004934C8"/>
    <w:rsid w:val="00493C96"/>
    <w:rsid w:val="004945D4"/>
    <w:rsid w:val="004947A1"/>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0FC7"/>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183"/>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065"/>
    <w:rsid w:val="006653D7"/>
    <w:rsid w:val="006654F3"/>
    <w:rsid w:val="00665F5E"/>
    <w:rsid w:val="00666129"/>
    <w:rsid w:val="006665BA"/>
    <w:rsid w:val="006665FE"/>
    <w:rsid w:val="00666A4F"/>
    <w:rsid w:val="00667106"/>
    <w:rsid w:val="00667111"/>
    <w:rsid w:val="0066720F"/>
    <w:rsid w:val="00667328"/>
    <w:rsid w:val="00667662"/>
    <w:rsid w:val="006703AA"/>
    <w:rsid w:val="006703CD"/>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6DA5"/>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0D"/>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8E6"/>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EB6"/>
    <w:rsid w:val="008C725D"/>
    <w:rsid w:val="008C743F"/>
    <w:rsid w:val="008C74C6"/>
    <w:rsid w:val="008C769B"/>
    <w:rsid w:val="008C76BF"/>
    <w:rsid w:val="008C7741"/>
    <w:rsid w:val="008C7868"/>
    <w:rsid w:val="008C7883"/>
    <w:rsid w:val="008C78F9"/>
    <w:rsid w:val="008C7B5C"/>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92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84C"/>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61BB"/>
    <w:rsid w:val="00976390"/>
    <w:rsid w:val="00976582"/>
    <w:rsid w:val="0097766C"/>
    <w:rsid w:val="00977BCA"/>
    <w:rsid w:val="0098054A"/>
    <w:rsid w:val="009806FB"/>
    <w:rsid w:val="009809DE"/>
    <w:rsid w:val="00981000"/>
    <w:rsid w:val="0098177A"/>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60D"/>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67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24E"/>
    <w:rsid w:val="00AD752F"/>
    <w:rsid w:val="00AD79BB"/>
    <w:rsid w:val="00AD7D7F"/>
    <w:rsid w:val="00AE00CA"/>
    <w:rsid w:val="00AE0C89"/>
    <w:rsid w:val="00AE10C4"/>
    <w:rsid w:val="00AE1197"/>
    <w:rsid w:val="00AE1524"/>
    <w:rsid w:val="00AE1AE1"/>
    <w:rsid w:val="00AE254F"/>
    <w:rsid w:val="00AE260E"/>
    <w:rsid w:val="00AE2C77"/>
    <w:rsid w:val="00AE2D01"/>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3B9"/>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0A6"/>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697"/>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3980"/>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0C3"/>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482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0CD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2AF9"/>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0C"/>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324"/>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96E1E"/>
    <w:rsid w:val="01457570"/>
    <w:rsid w:val="01C20BC1"/>
    <w:rsid w:val="024F656F"/>
    <w:rsid w:val="03125B78"/>
    <w:rsid w:val="04EC44C6"/>
    <w:rsid w:val="052C63B8"/>
    <w:rsid w:val="05900FD6"/>
    <w:rsid w:val="05D9038E"/>
    <w:rsid w:val="06507E65"/>
    <w:rsid w:val="06B55883"/>
    <w:rsid w:val="07574D9C"/>
    <w:rsid w:val="07DE090C"/>
    <w:rsid w:val="08290F2E"/>
    <w:rsid w:val="085F1E58"/>
    <w:rsid w:val="08E7715F"/>
    <w:rsid w:val="08EE6740"/>
    <w:rsid w:val="0906165B"/>
    <w:rsid w:val="09300E18"/>
    <w:rsid w:val="09647D8F"/>
    <w:rsid w:val="0A026946"/>
    <w:rsid w:val="0A1F007C"/>
    <w:rsid w:val="0A2A7FE0"/>
    <w:rsid w:val="0A410AF1"/>
    <w:rsid w:val="0A777171"/>
    <w:rsid w:val="0A856C30"/>
    <w:rsid w:val="0AF0634E"/>
    <w:rsid w:val="0B6D4760"/>
    <w:rsid w:val="0B8339ED"/>
    <w:rsid w:val="0C290BC7"/>
    <w:rsid w:val="0CA737D5"/>
    <w:rsid w:val="0CBB6000"/>
    <w:rsid w:val="0CCE34EE"/>
    <w:rsid w:val="0CE410C9"/>
    <w:rsid w:val="0D094159"/>
    <w:rsid w:val="0D1501C9"/>
    <w:rsid w:val="0D4B14D3"/>
    <w:rsid w:val="0E165CA5"/>
    <w:rsid w:val="0E21353B"/>
    <w:rsid w:val="0E4842B3"/>
    <w:rsid w:val="0EA80944"/>
    <w:rsid w:val="0EC20200"/>
    <w:rsid w:val="0F113188"/>
    <w:rsid w:val="0FC1695C"/>
    <w:rsid w:val="0FD06B9F"/>
    <w:rsid w:val="0FD75461"/>
    <w:rsid w:val="10046336"/>
    <w:rsid w:val="10190EEA"/>
    <w:rsid w:val="10200FCF"/>
    <w:rsid w:val="11144CCC"/>
    <w:rsid w:val="11421D1E"/>
    <w:rsid w:val="115832F0"/>
    <w:rsid w:val="1238019B"/>
    <w:rsid w:val="12803108"/>
    <w:rsid w:val="13613ABC"/>
    <w:rsid w:val="13655850"/>
    <w:rsid w:val="13857CA0"/>
    <w:rsid w:val="139A265D"/>
    <w:rsid w:val="13C52DC7"/>
    <w:rsid w:val="14185704"/>
    <w:rsid w:val="1473228E"/>
    <w:rsid w:val="14C33176"/>
    <w:rsid w:val="14CC7C00"/>
    <w:rsid w:val="14D27A24"/>
    <w:rsid w:val="161D2A4D"/>
    <w:rsid w:val="16426A1B"/>
    <w:rsid w:val="16A973E8"/>
    <w:rsid w:val="1717516A"/>
    <w:rsid w:val="172911EC"/>
    <w:rsid w:val="173F6692"/>
    <w:rsid w:val="17E82DB7"/>
    <w:rsid w:val="181810E3"/>
    <w:rsid w:val="189F35B2"/>
    <w:rsid w:val="18C92972"/>
    <w:rsid w:val="1A746368"/>
    <w:rsid w:val="1A9F789A"/>
    <w:rsid w:val="1AA87BD2"/>
    <w:rsid w:val="1C263325"/>
    <w:rsid w:val="1E2C09AB"/>
    <w:rsid w:val="1E935967"/>
    <w:rsid w:val="1F4F389F"/>
    <w:rsid w:val="1F795899"/>
    <w:rsid w:val="1FD40BF1"/>
    <w:rsid w:val="20261070"/>
    <w:rsid w:val="205F23C3"/>
    <w:rsid w:val="20B120D5"/>
    <w:rsid w:val="20D74DDE"/>
    <w:rsid w:val="20D84460"/>
    <w:rsid w:val="20F55B55"/>
    <w:rsid w:val="218B501C"/>
    <w:rsid w:val="22F34C27"/>
    <w:rsid w:val="2369138D"/>
    <w:rsid w:val="23F30C56"/>
    <w:rsid w:val="242179DA"/>
    <w:rsid w:val="246761DA"/>
    <w:rsid w:val="24CF6FCD"/>
    <w:rsid w:val="2546648E"/>
    <w:rsid w:val="2560231B"/>
    <w:rsid w:val="25B05051"/>
    <w:rsid w:val="26692359"/>
    <w:rsid w:val="270277E7"/>
    <w:rsid w:val="27B16E5E"/>
    <w:rsid w:val="280327F3"/>
    <w:rsid w:val="281335CC"/>
    <w:rsid w:val="28550131"/>
    <w:rsid w:val="288325A9"/>
    <w:rsid w:val="289E3C55"/>
    <w:rsid w:val="292672D4"/>
    <w:rsid w:val="2AF8398E"/>
    <w:rsid w:val="2AFB4FC0"/>
    <w:rsid w:val="2B3050F9"/>
    <w:rsid w:val="2B696A33"/>
    <w:rsid w:val="2C051F5E"/>
    <w:rsid w:val="2CF84D34"/>
    <w:rsid w:val="2D256E9C"/>
    <w:rsid w:val="2D6A3F24"/>
    <w:rsid w:val="2D716A26"/>
    <w:rsid w:val="2DE83A3A"/>
    <w:rsid w:val="2DFC4DDB"/>
    <w:rsid w:val="2E1F5933"/>
    <w:rsid w:val="2EC767E9"/>
    <w:rsid w:val="2F2B1BEC"/>
    <w:rsid w:val="2FC76FBB"/>
    <w:rsid w:val="308A5DD7"/>
    <w:rsid w:val="319B1E4E"/>
    <w:rsid w:val="31D37F49"/>
    <w:rsid w:val="321D6FE5"/>
    <w:rsid w:val="324F174E"/>
    <w:rsid w:val="32AC6B69"/>
    <w:rsid w:val="33376F4A"/>
    <w:rsid w:val="34B424E6"/>
    <w:rsid w:val="34CF7D73"/>
    <w:rsid w:val="34E268A9"/>
    <w:rsid w:val="3529272A"/>
    <w:rsid w:val="353E42CE"/>
    <w:rsid w:val="35A563B0"/>
    <w:rsid w:val="35F876AF"/>
    <w:rsid w:val="36002765"/>
    <w:rsid w:val="3667350A"/>
    <w:rsid w:val="3686688B"/>
    <w:rsid w:val="368806E6"/>
    <w:rsid w:val="36EB330F"/>
    <w:rsid w:val="37B502A5"/>
    <w:rsid w:val="37BE0F45"/>
    <w:rsid w:val="380B09E4"/>
    <w:rsid w:val="38C22C79"/>
    <w:rsid w:val="39346C81"/>
    <w:rsid w:val="3A4E1641"/>
    <w:rsid w:val="3A5E2E76"/>
    <w:rsid w:val="3A881CA1"/>
    <w:rsid w:val="3A8D5671"/>
    <w:rsid w:val="3A932EBB"/>
    <w:rsid w:val="3AE645CD"/>
    <w:rsid w:val="3C94492D"/>
    <w:rsid w:val="3D0F2205"/>
    <w:rsid w:val="3D5C388A"/>
    <w:rsid w:val="3D842BF3"/>
    <w:rsid w:val="3E1C2E2C"/>
    <w:rsid w:val="3E5A3954"/>
    <w:rsid w:val="3EA15EE7"/>
    <w:rsid w:val="3EA710F9"/>
    <w:rsid w:val="3F0F2990"/>
    <w:rsid w:val="3F227025"/>
    <w:rsid w:val="41173D7E"/>
    <w:rsid w:val="411A5A05"/>
    <w:rsid w:val="414651C4"/>
    <w:rsid w:val="414904A5"/>
    <w:rsid w:val="416B0F04"/>
    <w:rsid w:val="42C121F4"/>
    <w:rsid w:val="42EE0B0F"/>
    <w:rsid w:val="43EF4B3E"/>
    <w:rsid w:val="442055BD"/>
    <w:rsid w:val="453666E3"/>
    <w:rsid w:val="45EF7078"/>
    <w:rsid w:val="46F55035"/>
    <w:rsid w:val="47501768"/>
    <w:rsid w:val="475950F1"/>
    <w:rsid w:val="47641DC7"/>
    <w:rsid w:val="47651B77"/>
    <w:rsid w:val="478974E3"/>
    <w:rsid w:val="47995DCD"/>
    <w:rsid w:val="47F72214"/>
    <w:rsid w:val="47FB61A8"/>
    <w:rsid w:val="48681AC2"/>
    <w:rsid w:val="487B4BF3"/>
    <w:rsid w:val="48967C7F"/>
    <w:rsid w:val="48A4054C"/>
    <w:rsid w:val="48B87BF5"/>
    <w:rsid w:val="493D129C"/>
    <w:rsid w:val="49E65525"/>
    <w:rsid w:val="4A673681"/>
    <w:rsid w:val="4A9D1E36"/>
    <w:rsid w:val="4AB3357B"/>
    <w:rsid w:val="4BCE29F7"/>
    <w:rsid w:val="4BD765E4"/>
    <w:rsid w:val="4D2E0486"/>
    <w:rsid w:val="4D3A37DB"/>
    <w:rsid w:val="4DB415C8"/>
    <w:rsid w:val="4E74636C"/>
    <w:rsid w:val="4ECF50CE"/>
    <w:rsid w:val="4ED43CAB"/>
    <w:rsid w:val="4F7379C3"/>
    <w:rsid w:val="4F7F0DFC"/>
    <w:rsid w:val="4FD80B7D"/>
    <w:rsid w:val="500F5A41"/>
    <w:rsid w:val="50642410"/>
    <w:rsid w:val="50B21982"/>
    <w:rsid w:val="511E278C"/>
    <w:rsid w:val="520176EC"/>
    <w:rsid w:val="528523B0"/>
    <w:rsid w:val="52A116FA"/>
    <w:rsid w:val="52AB1BAD"/>
    <w:rsid w:val="52C72F96"/>
    <w:rsid w:val="535D0132"/>
    <w:rsid w:val="541C0E3A"/>
    <w:rsid w:val="54437D45"/>
    <w:rsid w:val="549A4653"/>
    <w:rsid w:val="54A15393"/>
    <w:rsid w:val="55540A0D"/>
    <w:rsid w:val="555E7D76"/>
    <w:rsid w:val="55B41744"/>
    <w:rsid w:val="56113491"/>
    <w:rsid w:val="561A72E1"/>
    <w:rsid w:val="56E821B5"/>
    <w:rsid w:val="56E85B49"/>
    <w:rsid w:val="57664335"/>
    <w:rsid w:val="582941A3"/>
    <w:rsid w:val="58626CF5"/>
    <w:rsid w:val="586316C4"/>
    <w:rsid w:val="58684954"/>
    <w:rsid w:val="58A0024F"/>
    <w:rsid w:val="58EF2522"/>
    <w:rsid w:val="594159E5"/>
    <w:rsid w:val="5953630F"/>
    <w:rsid w:val="5A153E74"/>
    <w:rsid w:val="5ABA3CA0"/>
    <w:rsid w:val="5AC20D8A"/>
    <w:rsid w:val="5AE8674D"/>
    <w:rsid w:val="5B370E4D"/>
    <w:rsid w:val="5B765E19"/>
    <w:rsid w:val="5BE96B00"/>
    <w:rsid w:val="5C0F231B"/>
    <w:rsid w:val="5C621EFA"/>
    <w:rsid w:val="5D481B17"/>
    <w:rsid w:val="5D621140"/>
    <w:rsid w:val="5D6D2855"/>
    <w:rsid w:val="5DC74F93"/>
    <w:rsid w:val="5DEA73A2"/>
    <w:rsid w:val="5E0E772A"/>
    <w:rsid w:val="5E362F0B"/>
    <w:rsid w:val="5E9D190F"/>
    <w:rsid w:val="5F051C85"/>
    <w:rsid w:val="5FAE0E5F"/>
    <w:rsid w:val="603D5158"/>
    <w:rsid w:val="60546BFF"/>
    <w:rsid w:val="60CC2038"/>
    <w:rsid w:val="60ED3B56"/>
    <w:rsid w:val="610F0176"/>
    <w:rsid w:val="61720DAB"/>
    <w:rsid w:val="61C03E43"/>
    <w:rsid w:val="629D1EDE"/>
    <w:rsid w:val="62A911C3"/>
    <w:rsid w:val="62B22B7C"/>
    <w:rsid w:val="63251ED3"/>
    <w:rsid w:val="635665E4"/>
    <w:rsid w:val="63927420"/>
    <w:rsid w:val="646C194A"/>
    <w:rsid w:val="646D1D84"/>
    <w:rsid w:val="65D06126"/>
    <w:rsid w:val="661F65EF"/>
    <w:rsid w:val="66301079"/>
    <w:rsid w:val="66666A8A"/>
    <w:rsid w:val="66680A54"/>
    <w:rsid w:val="666A0329"/>
    <w:rsid w:val="66794A10"/>
    <w:rsid w:val="668F4233"/>
    <w:rsid w:val="67B87541"/>
    <w:rsid w:val="68080E6A"/>
    <w:rsid w:val="680C4CB4"/>
    <w:rsid w:val="683D381B"/>
    <w:rsid w:val="686B482C"/>
    <w:rsid w:val="68A73CAF"/>
    <w:rsid w:val="68D76D7C"/>
    <w:rsid w:val="694E2184"/>
    <w:rsid w:val="696265E0"/>
    <w:rsid w:val="69942B10"/>
    <w:rsid w:val="69BA1345"/>
    <w:rsid w:val="6A46671D"/>
    <w:rsid w:val="6A923CF1"/>
    <w:rsid w:val="6B064398"/>
    <w:rsid w:val="6B105217"/>
    <w:rsid w:val="6B387DCC"/>
    <w:rsid w:val="6BA11F09"/>
    <w:rsid w:val="6C101852"/>
    <w:rsid w:val="6C1E3A57"/>
    <w:rsid w:val="6C8B0FF9"/>
    <w:rsid w:val="6C946514"/>
    <w:rsid w:val="6CBC6118"/>
    <w:rsid w:val="6CCD080F"/>
    <w:rsid w:val="6CE557BD"/>
    <w:rsid w:val="6D837F22"/>
    <w:rsid w:val="6DE704B1"/>
    <w:rsid w:val="6DEC3D19"/>
    <w:rsid w:val="6E3F653F"/>
    <w:rsid w:val="6E4448A1"/>
    <w:rsid w:val="6EB02F99"/>
    <w:rsid w:val="6EFA2466"/>
    <w:rsid w:val="6F03131A"/>
    <w:rsid w:val="6F7748A7"/>
    <w:rsid w:val="6F8739CA"/>
    <w:rsid w:val="700A0487"/>
    <w:rsid w:val="706109EE"/>
    <w:rsid w:val="706202C3"/>
    <w:rsid w:val="70B56644"/>
    <w:rsid w:val="70CC1BE0"/>
    <w:rsid w:val="70CD5DAB"/>
    <w:rsid w:val="713E4EC0"/>
    <w:rsid w:val="714F1E78"/>
    <w:rsid w:val="71551BD5"/>
    <w:rsid w:val="71601728"/>
    <w:rsid w:val="717A163C"/>
    <w:rsid w:val="71916451"/>
    <w:rsid w:val="72534E9D"/>
    <w:rsid w:val="731437CB"/>
    <w:rsid w:val="73155BD6"/>
    <w:rsid w:val="73267CCD"/>
    <w:rsid w:val="73AB60DD"/>
    <w:rsid w:val="73DE4104"/>
    <w:rsid w:val="7530273D"/>
    <w:rsid w:val="75471C28"/>
    <w:rsid w:val="75CC7809"/>
    <w:rsid w:val="76036E05"/>
    <w:rsid w:val="76083B2D"/>
    <w:rsid w:val="76BF71EE"/>
    <w:rsid w:val="76F1414E"/>
    <w:rsid w:val="77562203"/>
    <w:rsid w:val="77DA4962"/>
    <w:rsid w:val="796F65E1"/>
    <w:rsid w:val="79D66B33"/>
    <w:rsid w:val="79E157E7"/>
    <w:rsid w:val="7A5C5D83"/>
    <w:rsid w:val="7B8E6410"/>
    <w:rsid w:val="7C6525CC"/>
    <w:rsid w:val="7C7326A1"/>
    <w:rsid w:val="7CA26617"/>
    <w:rsid w:val="7CEA1D6C"/>
    <w:rsid w:val="7D4F4AFF"/>
    <w:rsid w:val="7D6072DF"/>
    <w:rsid w:val="7DC607F5"/>
    <w:rsid w:val="7DEE13E8"/>
    <w:rsid w:val="7EA22840"/>
    <w:rsid w:val="7EF50554"/>
    <w:rsid w:val="7F2063D5"/>
    <w:rsid w:val="7F8B1C16"/>
    <w:rsid w:val="7FAB54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character" w:customStyle="1" w:styleId="641">
    <w:name w:val="未处理的提及2"/>
    <w:basedOn w:val="130"/>
    <w:semiHidden/>
    <w:unhideWhenUsed/>
    <w:qFormat/>
    <w:uiPriority w:val="99"/>
    <w:rPr>
      <w:color w:val="605E5C"/>
      <w:shd w:val="clear" w:color="auto" w:fill="E1DFDD"/>
    </w:rPr>
  </w:style>
  <w:style w:type="paragraph" w:customStyle="1" w:styleId="642">
    <w:name w:val="修订16"/>
    <w:hidden/>
    <w:unhideWhenUsed/>
    <w:qFormat/>
    <w:uiPriority w:val="99"/>
    <w:rPr>
      <w:rFonts w:ascii="宋体" w:hAnsi="宋体" w:eastAsia="宋体" w:cs="宋体"/>
      <w:sz w:val="21"/>
      <w:szCs w:val="24"/>
      <w:lang w:val="en-US" w:eastAsia="zh-CN" w:bidi="ar-SA"/>
    </w:rPr>
  </w:style>
  <w:style w:type="paragraph" w:customStyle="1" w:styleId="643">
    <w:name w:val="修订17"/>
    <w:hidden/>
    <w:unhideWhenUsed/>
    <w:qFormat/>
    <w:uiPriority w:val="99"/>
    <w:rPr>
      <w:rFonts w:ascii="宋体" w:hAnsi="宋体" w:eastAsia="宋体" w:cs="宋体"/>
      <w:sz w:val="21"/>
      <w:szCs w:val="24"/>
      <w:lang w:val="en-US" w:eastAsia="zh-CN" w:bidi="ar-SA"/>
    </w:rPr>
  </w:style>
  <w:style w:type="paragraph" w:customStyle="1" w:styleId="644">
    <w:name w:val="Revision"/>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A915-20E8-4D6F-BC75-594C55C27C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49872</Words>
  <Characters>54899</Characters>
  <Lines>436</Lines>
  <Paragraphs>122</Paragraphs>
  <TotalTime>0</TotalTime>
  <ScaleCrop>false</ScaleCrop>
  <LinksUpToDate>false</LinksUpToDate>
  <CharactersWithSpaces>55772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2024-07-19T02:48:00Z</dcterms:created>
  <dc:creator>thsware</dc:creator>
  <cp:lastModifiedBy>微信用户</cp:lastModifiedBy>
  <cp:lastPrinted>2024-10-12T06:08:00Z</cp:lastPrinted>
  <dcterms:modified xsi:type="dcterms:W3CDTF">2024-11-11T07:26:44Z</dcterms:modified>
  <dc:title>招  标　文　件</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E2F64DD161EC45D1B661DF9B90031E39_13</vt:lpwstr>
  </property>
</Properties>
</file>